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4E" w:rsidRPr="008B0C4E" w:rsidRDefault="008B0C4E" w:rsidP="008B0C4E">
      <w:pPr>
        <w:keepNext/>
        <w:spacing w:line="240" w:lineRule="auto"/>
        <w:outlineLvl w:val="0"/>
        <w:rPr>
          <w:rFonts w:ascii="Arial" w:hAnsi="Arial" w:cs="Arial"/>
          <w:b/>
          <w:bCs/>
          <w:kern w:val="32"/>
          <w:sz w:val="32"/>
          <w:szCs w:val="32"/>
        </w:rPr>
      </w:pPr>
    </w:p>
    <w:p w:rsidR="008B0C4E" w:rsidRPr="008B0C4E" w:rsidRDefault="008B0C4E" w:rsidP="008B0C4E">
      <w:pPr>
        <w:keepNext/>
        <w:spacing w:line="240" w:lineRule="auto"/>
        <w:outlineLvl w:val="0"/>
        <w:rPr>
          <w:rFonts w:ascii="Arial" w:hAnsi="Arial" w:cs="Arial"/>
          <w:b/>
          <w:bCs/>
          <w:kern w:val="32"/>
          <w:sz w:val="32"/>
          <w:szCs w:val="32"/>
        </w:rPr>
      </w:pPr>
    </w:p>
    <w:p w:rsidR="008B0C4E" w:rsidRPr="008B0C4E" w:rsidRDefault="008B0C4E" w:rsidP="008B0C4E">
      <w:pPr>
        <w:keepNext/>
        <w:spacing w:line="240" w:lineRule="auto"/>
        <w:ind w:left="-567"/>
        <w:outlineLvl w:val="0"/>
        <w:rPr>
          <w:rFonts w:ascii="Arial" w:hAnsi="Arial" w:cs="Arial"/>
          <w:b/>
          <w:bCs/>
          <w:kern w:val="32"/>
          <w:sz w:val="32"/>
          <w:szCs w:val="32"/>
        </w:rPr>
      </w:pPr>
    </w:p>
    <w:p w:rsidR="008B0C4E" w:rsidRPr="008B0C4E" w:rsidRDefault="008B0C4E" w:rsidP="008B0C4E">
      <w:pPr>
        <w:keepNext/>
        <w:spacing w:line="240" w:lineRule="auto"/>
        <w:ind w:left="-567"/>
        <w:outlineLvl w:val="0"/>
        <w:rPr>
          <w:rFonts w:ascii="Arial" w:hAnsi="Arial" w:cs="Arial"/>
          <w:b/>
          <w:bCs/>
          <w:kern w:val="32"/>
          <w:sz w:val="32"/>
          <w:szCs w:val="32"/>
        </w:rPr>
      </w:pPr>
    </w:p>
    <w:p w:rsidR="008B0C4E" w:rsidRPr="008B0C4E" w:rsidRDefault="008B0C4E" w:rsidP="008B0C4E">
      <w:pPr>
        <w:spacing w:line="240" w:lineRule="auto"/>
        <w:ind w:left="-567" w:hanging="360"/>
        <w:jc w:val="center"/>
        <w:rPr>
          <w:rFonts w:ascii="Arial" w:hAnsi="Arial" w:cs="Arial"/>
          <w:bCs/>
          <w:kern w:val="32"/>
        </w:rPr>
      </w:pPr>
      <w:r w:rsidRPr="008B0C4E">
        <w:rPr>
          <w:rFonts w:eastAsiaTheme="minorHAnsi"/>
          <w:noProof/>
          <w:sz w:val="22"/>
          <w:szCs w:val="22"/>
          <w:lang w:eastAsia="en-AU"/>
        </w:rPr>
        <w:drawing>
          <wp:inline distT="0" distB="0" distL="0" distR="0" wp14:anchorId="22A18CA4" wp14:editId="2A9D2587">
            <wp:extent cx="1714500" cy="1655485"/>
            <wp:effectExtent l="0" t="0" r="0" b="1905"/>
            <wp:docPr id="1" name="Picture 1" descr="https://commonbadge.dpc.wa.gov.au/PublishingImages/downloads/govOfWA+Text/govOfWA+TextColour_562x542.jpg" title="Government of Western Australi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mmonbadge.dpc.wa.gov.au/PublishingImages/downloads/govOfWA+Text/govOfWA+TextColour_562x54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641" cy="1655621"/>
                    </a:xfrm>
                    <a:prstGeom prst="rect">
                      <a:avLst/>
                    </a:prstGeom>
                    <a:noFill/>
                    <a:ln>
                      <a:noFill/>
                    </a:ln>
                  </pic:spPr>
                </pic:pic>
              </a:graphicData>
            </a:graphic>
          </wp:inline>
        </w:drawing>
      </w:r>
    </w:p>
    <w:p w:rsidR="008B0C4E" w:rsidRPr="008B0C4E" w:rsidRDefault="008B0C4E" w:rsidP="008B0C4E">
      <w:pPr>
        <w:spacing w:line="240" w:lineRule="auto"/>
        <w:ind w:left="-567"/>
        <w:rPr>
          <w:rFonts w:ascii="Arial" w:hAnsi="Arial" w:cs="Arial"/>
          <w:bCs/>
          <w:kern w:val="32"/>
        </w:rPr>
      </w:pPr>
    </w:p>
    <w:p w:rsidR="008B0C4E" w:rsidRPr="008B0C4E" w:rsidRDefault="008B0C4E" w:rsidP="008B0C4E">
      <w:pPr>
        <w:spacing w:line="240" w:lineRule="auto"/>
        <w:ind w:left="-567"/>
        <w:rPr>
          <w:rFonts w:ascii="Arial" w:hAnsi="Arial" w:cs="Arial"/>
          <w:bCs/>
          <w:kern w:val="32"/>
        </w:rPr>
      </w:pPr>
    </w:p>
    <w:p w:rsidR="008B0C4E" w:rsidRPr="008B0C4E" w:rsidRDefault="008B0C4E" w:rsidP="008B0C4E">
      <w:pPr>
        <w:spacing w:line="240" w:lineRule="auto"/>
        <w:ind w:left="-567"/>
        <w:jc w:val="center"/>
        <w:rPr>
          <w:rFonts w:ascii="Arial" w:hAnsi="Arial" w:cs="Arial"/>
          <w:b/>
          <w:bCs/>
          <w:kern w:val="32"/>
          <w:sz w:val="52"/>
          <w:szCs w:val="52"/>
        </w:rPr>
      </w:pPr>
    </w:p>
    <w:p w:rsidR="008B0C4E" w:rsidRPr="008B0C4E" w:rsidRDefault="008B0C4E" w:rsidP="008B0C4E">
      <w:pPr>
        <w:spacing w:line="240" w:lineRule="auto"/>
        <w:ind w:left="-567"/>
        <w:jc w:val="center"/>
        <w:rPr>
          <w:rFonts w:ascii="Arial" w:hAnsi="Arial" w:cs="Arial"/>
          <w:b/>
          <w:bCs/>
          <w:kern w:val="32"/>
          <w:sz w:val="52"/>
          <w:szCs w:val="52"/>
        </w:rPr>
      </w:pPr>
      <w:r w:rsidRPr="008B0C4E">
        <w:rPr>
          <w:rFonts w:ascii="Arial" w:hAnsi="Arial" w:cs="Arial"/>
          <w:b/>
          <w:bCs/>
          <w:kern w:val="32"/>
          <w:sz w:val="52"/>
          <w:szCs w:val="52"/>
        </w:rPr>
        <w:t>Fair Work Commission</w:t>
      </w:r>
    </w:p>
    <w:p w:rsidR="008B0C4E" w:rsidRPr="008B0C4E" w:rsidRDefault="008B0C4E" w:rsidP="008B0C4E">
      <w:pPr>
        <w:spacing w:line="240" w:lineRule="auto"/>
        <w:ind w:left="-567"/>
        <w:jc w:val="center"/>
        <w:rPr>
          <w:rFonts w:ascii="Arial" w:hAnsi="Arial" w:cs="Arial"/>
          <w:b/>
          <w:bCs/>
          <w:kern w:val="32"/>
          <w:sz w:val="52"/>
          <w:szCs w:val="52"/>
        </w:rPr>
      </w:pPr>
    </w:p>
    <w:p w:rsidR="008B0C4E" w:rsidRPr="008B0C4E" w:rsidRDefault="008B0C4E" w:rsidP="008B0C4E">
      <w:pPr>
        <w:spacing w:line="240" w:lineRule="auto"/>
        <w:ind w:left="-567"/>
        <w:jc w:val="center"/>
        <w:rPr>
          <w:rFonts w:ascii="Arial" w:hAnsi="Arial" w:cs="Arial"/>
          <w:b/>
          <w:bCs/>
          <w:kern w:val="32"/>
          <w:sz w:val="52"/>
          <w:szCs w:val="52"/>
        </w:rPr>
      </w:pPr>
    </w:p>
    <w:p w:rsidR="008B0C4E" w:rsidRPr="008B0C4E" w:rsidRDefault="008B0C4E" w:rsidP="008B0C4E">
      <w:pPr>
        <w:spacing w:line="240" w:lineRule="auto"/>
        <w:ind w:left="-567" w:hanging="360"/>
        <w:jc w:val="center"/>
        <w:rPr>
          <w:rFonts w:ascii="Arial" w:hAnsi="Arial" w:cs="Arial"/>
          <w:b/>
          <w:bCs/>
          <w:kern w:val="32"/>
          <w:sz w:val="52"/>
          <w:szCs w:val="52"/>
        </w:rPr>
      </w:pPr>
      <w:r w:rsidRPr="008B0C4E">
        <w:rPr>
          <w:rFonts w:ascii="Arial" w:hAnsi="Arial" w:cs="Arial"/>
          <w:b/>
          <w:bCs/>
          <w:kern w:val="32"/>
          <w:sz w:val="52"/>
          <w:szCs w:val="52"/>
        </w:rPr>
        <w:t>201</w:t>
      </w:r>
      <w:r>
        <w:rPr>
          <w:rFonts w:ascii="Arial" w:hAnsi="Arial" w:cs="Arial"/>
          <w:b/>
          <w:bCs/>
          <w:kern w:val="32"/>
          <w:sz w:val="52"/>
          <w:szCs w:val="52"/>
        </w:rPr>
        <w:t>9</w:t>
      </w:r>
      <w:r w:rsidRPr="008B0C4E">
        <w:rPr>
          <w:rFonts w:ascii="Arial" w:hAnsi="Arial" w:cs="Arial"/>
          <w:b/>
          <w:bCs/>
          <w:kern w:val="32"/>
          <w:sz w:val="52"/>
          <w:szCs w:val="52"/>
        </w:rPr>
        <w:t>-</w:t>
      </w:r>
      <w:r>
        <w:rPr>
          <w:rFonts w:ascii="Arial" w:hAnsi="Arial" w:cs="Arial"/>
          <w:b/>
          <w:bCs/>
          <w:kern w:val="32"/>
          <w:sz w:val="52"/>
          <w:szCs w:val="52"/>
        </w:rPr>
        <w:t>20</w:t>
      </w:r>
      <w:r w:rsidRPr="008B0C4E">
        <w:rPr>
          <w:rFonts w:ascii="Arial" w:hAnsi="Arial" w:cs="Arial"/>
          <w:b/>
          <w:bCs/>
          <w:kern w:val="32"/>
          <w:sz w:val="52"/>
          <w:szCs w:val="52"/>
        </w:rPr>
        <w:t xml:space="preserve"> Annual Wage Review</w:t>
      </w:r>
    </w:p>
    <w:p w:rsidR="008B0C4E" w:rsidRPr="008B0C4E" w:rsidRDefault="008B0C4E" w:rsidP="008B0C4E">
      <w:pPr>
        <w:spacing w:line="240" w:lineRule="auto"/>
        <w:ind w:left="-567"/>
        <w:jc w:val="center"/>
        <w:rPr>
          <w:rFonts w:ascii="Arial" w:hAnsi="Arial" w:cs="Arial"/>
          <w:b/>
          <w:bCs/>
          <w:kern w:val="32"/>
          <w:sz w:val="52"/>
          <w:szCs w:val="52"/>
        </w:rPr>
      </w:pPr>
    </w:p>
    <w:p w:rsidR="008B0C4E" w:rsidRPr="008B0C4E" w:rsidRDefault="008B0C4E" w:rsidP="008B0C4E">
      <w:pPr>
        <w:spacing w:line="240" w:lineRule="auto"/>
        <w:ind w:left="-567"/>
        <w:jc w:val="center"/>
        <w:rPr>
          <w:rFonts w:ascii="Arial" w:hAnsi="Arial" w:cs="Arial"/>
          <w:b/>
          <w:bCs/>
          <w:kern w:val="32"/>
          <w:sz w:val="52"/>
          <w:szCs w:val="52"/>
        </w:rPr>
      </w:pPr>
    </w:p>
    <w:p w:rsidR="008B0C4E" w:rsidRPr="008B0C4E" w:rsidRDefault="008B0C4E" w:rsidP="008B0C4E">
      <w:pPr>
        <w:pBdr>
          <w:top w:val="single" w:sz="4" w:space="1" w:color="auto"/>
        </w:pBdr>
        <w:spacing w:line="240" w:lineRule="auto"/>
        <w:ind w:left="-567"/>
        <w:rPr>
          <w:rFonts w:eastAsiaTheme="minorHAnsi"/>
          <w:sz w:val="22"/>
          <w:szCs w:val="22"/>
        </w:rPr>
      </w:pPr>
    </w:p>
    <w:p w:rsidR="008B0C4E" w:rsidRPr="008B0C4E" w:rsidRDefault="008B0C4E" w:rsidP="008B0C4E">
      <w:pPr>
        <w:spacing w:line="240" w:lineRule="auto"/>
        <w:ind w:left="-567"/>
        <w:jc w:val="center"/>
        <w:rPr>
          <w:rFonts w:ascii="Arial" w:hAnsi="Arial" w:cs="Arial"/>
          <w:b/>
          <w:bCs/>
          <w:color w:val="0070C0"/>
          <w:kern w:val="32"/>
          <w:sz w:val="52"/>
          <w:szCs w:val="52"/>
        </w:rPr>
      </w:pPr>
      <w:r w:rsidRPr="008B0C4E">
        <w:rPr>
          <w:rFonts w:ascii="Arial" w:hAnsi="Arial" w:cs="Arial"/>
          <w:b/>
          <w:bCs/>
          <w:color w:val="0070C0"/>
          <w:kern w:val="32"/>
          <w:sz w:val="52"/>
          <w:szCs w:val="52"/>
        </w:rPr>
        <w:t xml:space="preserve">Submission of the </w:t>
      </w:r>
      <w:r w:rsidRPr="008B0C4E">
        <w:rPr>
          <w:rFonts w:ascii="Arial" w:hAnsi="Arial" w:cs="Arial"/>
          <w:b/>
          <w:bCs/>
          <w:color w:val="0070C0"/>
          <w:kern w:val="32"/>
          <w:sz w:val="52"/>
          <w:szCs w:val="52"/>
        </w:rPr>
        <w:br/>
        <w:t>Government of Western Australia</w:t>
      </w:r>
    </w:p>
    <w:p w:rsidR="008B0C4E" w:rsidRPr="008B0C4E" w:rsidRDefault="008B0C4E" w:rsidP="008B0C4E">
      <w:pPr>
        <w:pBdr>
          <w:bottom w:val="single" w:sz="4" w:space="1" w:color="auto"/>
        </w:pBdr>
        <w:tabs>
          <w:tab w:val="center" w:pos="4513"/>
          <w:tab w:val="right" w:pos="9026"/>
        </w:tabs>
        <w:spacing w:line="240" w:lineRule="auto"/>
        <w:ind w:left="-567"/>
        <w:rPr>
          <w:rFonts w:eastAsiaTheme="minorHAnsi"/>
          <w:sz w:val="22"/>
          <w:szCs w:val="22"/>
        </w:rPr>
      </w:pPr>
    </w:p>
    <w:p w:rsidR="008B0C4E" w:rsidRPr="008B0C4E" w:rsidRDefault="008B0C4E" w:rsidP="008B0C4E">
      <w:pPr>
        <w:keepNext/>
        <w:spacing w:line="240" w:lineRule="auto"/>
        <w:ind w:left="-567"/>
        <w:jc w:val="center"/>
        <w:outlineLvl w:val="0"/>
        <w:rPr>
          <w:rFonts w:ascii="Arial" w:hAnsi="Arial" w:cs="Arial"/>
          <w:b/>
          <w:bCs/>
          <w:kern w:val="32"/>
          <w:sz w:val="52"/>
          <w:szCs w:val="52"/>
        </w:rPr>
      </w:pPr>
    </w:p>
    <w:p w:rsidR="008B0C4E" w:rsidRPr="008B0C4E" w:rsidRDefault="008B0C4E" w:rsidP="008B0C4E">
      <w:pPr>
        <w:autoSpaceDE w:val="0"/>
        <w:autoSpaceDN w:val="0"/>
        <w:adjustRightInd w:val="0"/>
        <w:spacing w:line="240" w:lineRule="auto"/>
        <w:ind w:left="-567"/>
        <w:rPr>
          <w:rFonts w:ascii="Arial" w:eastAsiaTheme="minorHAnsi" w:hAnsi="Arial" w:cs="Arial"/>
          <w:color w:val="000000"/>
        </w:rPr>
      </w:pPr>
    </w:p>
    <w:p w:rsidR="008B0C4E" w:rsidRPr="008B0C4E" w:rsidRDefault="008B0C4E" w:rsidP="008B0C4E">
      <w:pPr>
        <w:keepNext/>
        <w:spacing w:line="240" w:lineRule="auto"/>
        <w:ind w:left="-567" w:hanging="360"/>
        <w:jc w:val="center"/>
        <w:outlineLvl w:val="0"/>
        <w:rPr>
          <w:rFonts w:ascii="Arial" w:hAnsi="Arial" w:cs="Arial"/>
          <w:bCs/>
          <w:kern w:val="32"/>
          <w:sz w:val="32"/>
          <w:szCs w:val="32"/>
        </w:rPr>
      </w:pPr>
      <w:r w:rsidRPr="008B0C4E">
        <w:rPr>
          <w:rFonts w:ascii="Arial" w:eastAsiaTheme="minorHAnsi" w:hAnsi="Arial" w:cs="Arial"/>
          <w:b/>
          <w:bCs/>
          <w:sz w:val="32"/>
          <w:szCs w:val="32"/>
        </w:rPr>
        <w:t xml:space="preserve">DATE: </w:t>
      </w:r>
      <w:r w:rsidR="00307D59">
        <w:rPr>
          <w:rFonts w:ascii="Arial" w:eastAsiaTheme="minorHAnsi" w:hAnsi="Arial" w:cs="Arial"/>
          <w:b/>
          <w:bCs/>
          <w:sz w:val="32"/>
          <w:szCs w:val="32"/>
        </w:rPr>
        <w:t>20</w:t>
      </w:r>
      <w:r w:rsidRPr="008B0C4E">
        <w:rPr>
          <w:rFonts w:ascii="Arial" w:eastAsiaTheme="minorHAnsi" w:hAnsi="Arial" w:cs="Arial"/>
          <w:b/>
          <w:bCs/>
          <w:sz w:val="32"/>
          <w:szCs w:val="32"/>
        </w:rPr>
        <w:t xml:space="preserve"> March 20</w:t>
      </w:r>
      <w:r>
        <w:rPr>
          <w:rFonts w:ascii="Arial" w:eastAsiaTheme="minorHAnsi" w:hAnsi="Arial" w:cs="Arial"/>
          <w:b/>
          <w:bCs/>
          <w:sz w:val="32"/>
          <w:szCs w:val="32"/>
        </w:rPr>
        <w:t>20</w:t>
      </w:r>
    </w:p>
    <w:p w:rsidR="008B0C4E" w:rsidRPr="008B0C4E" w:rsidRDefault="008B0C4E" w:rsidP="008B0C4E">
      <w:pPr>
        <w:keepNext/>
        <w:spacing w:line="240" w:lineRule="auto"/>
        <w:ind w:left="-567"/>
        <w:outlineLvl w:val="0"/>
        <w:rPr>
          <w:rFonts w:ascii="Arial" w:hAnsi="Arial" w:cs="Arial"/>
          <w:bCs/>
          <w:kern w:val="32"/>
        </w:rPr>
      </w:pPr>
    </w:p>
    <w:p w:rsidR="008B0C4E" w:rsidRPr="008B0C4E" w:rsidRDefault="008B0C4E" w:rsidP="008B0C4E">
      <w:pPr>
        <w:keepNext/>
        <w:spacing w:after="240" w:line="240" w:lineRule="auto"/>
        <w:ind w:left="-567"/>
        <w:outlineLvl w:val="0"/>
        <w:rPr>
          <w:rFonts w:ascii="Arial" w:hAnsi="Arial" w:cs="Arial"/>
          <w:bCs/>
          <w:kern w:val="32"/>
        </w:rPr>
      </w:pPr>
    </w:p>
    <w:p w:rsidR="008B0C4E" w:rsidRPr="008B0C4E" w:rsidRDefault="008B0C4E" w:rsidP="008B0C4E">
      <w:pPr>
        <w:keepNext/>
        <w:spacing w:after="240" w:line="240" w:lineRule="auto"/>
        <w:outlineLvl w:val="0"/>
        <w:rPr>
          <w:rFonts w:ascii="Arial" w:hAnsi="Arial" w:cs="Arial"/>
          <w:bCs/>
          <w:kern w:val="32"/>
        </w:rPr>
        <w:sectPr w:rsidR="008B0C4E" w:rsidRPr="008B0C4E" w:rsidSect="008B0C4E">
          <w:headerReference w:type="even" r:id="rId14"/>
          <w:headerReference w:type="default" r:id="rId15"/>
          <w:footerReference w:type="even" r:id="rId16"/>
          <w:footerReference w:type="default" r:id="rId17"/>
          <w:headerReference w:type="first" r:id="rId18"/>
          <w:footerReference w:type="first" r:id="rId19"/>
          <w:pgSz w:w="11907" w:h="16840" w:code="9"/>
          <w:pgMar w:top="567" w:right="851" w:bottom="567" w:left="1588" w:header="567" w:footer="0" w:gutter="0"/>
          <w:cols w:space="720"/>
          <w:docGrid w:linePitch="299"/>
        </w:sectPr>
      </w:pPr>
    </w:p>
    <w:p w:rsidR="008B0C4E" w:rsidRPr="00E26BBE" w:rsidRDefault="008B0C4E" w:rsidP="008B0C4E">
      <w:pPr>
        <w:spacing w:before="240" w:after="240" w:line="240" w:lineRule="auto"/>
        <w:jc w:val="center"/>
        <w:rPr>
          <w:rFonts w:ascii="Arial" w:hAnsi="Arial" w:cs="Arial"/>
          <w:b/>
          <w:sz w:val="40"/>
          <w:szCs w:val="40"/>
        </w:rPr>
      </w:pPr>
      <w:r w:rsidRPr="00E26BBE">
        <w:rPr>
          <w:rFonts w:ascii="Arial" w:hAnsi="Arial" w:cs="Arial"/>
          <w:b/>
          <w:sz w:val="40"/>
          <w:szCs w:val="40"/>
        </w:rPr>
        <w:lastRenderedPageBreak/>
        <w:t>Western Australian Government</w:t>
      </w:r>
    </w:p>
    <w:p w:rsidR="008B0C4E" w:rsidRPr="00E26BBE" w:rsidRDefault="008B0C4E" w:rsidP="008B0C4E">
      <w:pPr>
        <w:spacing w:before="240" w:after="240" w:line="240" w:lineRule="auto"/>
        <w:jc w:val="center"/>
        <w:rPr>
          <w:rFonts w:ascii="Arial" w:hAnsi="Arial" w:cs="Arial"/>
          <w:b/>
          <w:sz w:val="40"/>
          <w:szCs w:val="40"/>
        </w:rPr>
      </w:pPr>
      <w:r w:rsidRPr="00E26BBE">
        <w:rPr>
          <w:rFonts w:ascii="Arial" w:hAnsi="Arial" w:cs="Arial"/>
          <w:b/>
          <w:sz w:val="40"/>
          <w:szCs w:val="40"/>
        </w:rPr>
        <w:t>Submission to Annual Wage Review 2019-20</w:t>
      </w:r>
    </w:p>
    <w:p w:rsidR="008B0C4E" w:rsidRPr="008B0C4E" w:rsidRDefault="008B0C4E" w:rsidP="008B0C4E">
      <w:pPr>
        <w:spacing w:after="200"/>
        <w:rPr>
          <w:rFonts w:ascii="Arial" w:eastAsiaTheme="minorHAnsi" w:hAnsi="Arial" w:cs="Arial"/>
        </w:rPr>
      </w:pPr>
    </w:p>
    <w:p w:rsidR="008B0C4E" w:rsidRPr="00FB71DF" w:rsidRDefault="008B0C4E" w:rsidP="008B0C4E">
      <w:pPr>
        <w:keepNext/>
        <w:keepLines/>
        <w:spacing w:before="200" w:after="200"/>
        <w:outlineLvl w:val="0"/>
        <w:rPr>
          <w:rFonts w:asciiTheme="majorHAnsi" w:eastAsiaTheme="majorEastAsia" w:hAnsiTheme="majorHAnsi" w:cstheme="majorBidi"/>
          <w:b/>
          <w:bCs/>
          <w:color w:val="0070C0"/>
          <w:sz w:val="32"/>
          <w:szCs w:val="28"/>
        </w:rPr>
      </w:pPr>
      <w:r w:rsidRPr="00FB71DF">
        <w:rPr>
          <w:rFonts w:asciiTheme="majorHAnsi" w:eastAsiaTheme="majorEastAsia" w:hAnsiTheme="majorHAnsi" w:cstheme="majorBidi"/>
          <w:b/>
          <w:bCs/>
          <w:color w:val="0070C0"/>
          <w:sz w:val="32"/>
          <w:szCs w:val="28"/>
        </w:rPr>
        <w:t>Introduction</w:t>
      </w:r>
    </w:p>
    <w:p w:rsidR="008B0C4E" w:rsidRPr="008B0C4E" w:rsidRDefault="008B0C4E" w:rsidP="008B0C4E">
      <w:pPr>
        <w:numPr>
          <w:ilvl w:val="0"/>
          <w:numId w:val="25"/>
        </w:numPr>
        <w:tabs>
          <w:tab w:val="num" w:pos="600"/>
        </w:tabs>
        <w:spacing w:after="240" w:line="240" w:lineRule="auto"/>
        <w:ind w:left="567" w:hanging="567"/>
        <w:jc w:val="both"/>
        <w:rPr>
          <w:rFonts w:ascii="Arial" w:hAnsi="Arial" w:cs="Arial"/>
          <w:lang w:val="en-US"/>
        </w:rPr>
      </w:pPr>
      <w:r w:rsidRPr="008B0C4E">
        <w:rPr>
          <w:rFonts w:ascii="Arial" w:hAnsi="Arial" w:cs="Arial"/>
          <w:lang w:val="en-US"/>
        </w:rPr>
        <w:t xml:space="preserve">The Western Australian Government welcomes the opportunity to make </w:t>
      </w:r>
      <w:r>
        <w:rPr>
          <w:rFonts w:ascii="Arial" w:hAnsi="Arial" w:cs="Arial"/>
          <w:lang w:val="en-US"/>
        </w:rPr>
        <w:t>a</w:t>
      </w:r>
      <w:r w:rsidRPr="008B0C4E">
        <w:rPr>
          <w:rFonts w:ascii="Arial" w:hAnsi="Arial" w:cs="Arial"/>
          <w:lang w:val="en-US"/>
        </w:rPr>
        <w:t xml:space="preserve"> submission to the Expert Panel of the Fair Work Commission (</w:t>
      </w:r>
      <w:r w:rsidRPr="008B0C4E">
        <w:rPr>
          <w:rFonts w:ascii="Arial" w:hAnsi="Arial" w:cs="Arial"/>
          <w:b/>
          <w:lang w:val="en-US"/>
        </w:rPr>
        <w:t>the Panel</w:t>
      </w:r>
      <w:r w:rsidRPr="008B0C4E">
        <w:rPr>
          <w:rFonts w:ascii="Arial" w:hAnsi="Arial" w:cs="Arial"/>
          <w:lang w:val="en-US"/>
        </w:rPr>
        <w:t>)</w:t>
      </w:r>
      <w:r w:rsidRPr="008B0C4E">
        <w:rPr>
          <w:rFonts w:ascii="Arial" w:hAnsi="Arial" w:cs="Arial"/>
          <w:b/>
          <w:lang w:val="en-US"/>
        </w:rPr>
        <w:t xml:space="preserve"> </w:t>
      </w:r>
      <w:r w:rsidRPr="008B0C4E">
        <w:rPr>
          <w:rFonts w:ascii="Arial" w:hAnsi="Arial" w:cs="Arial"/>
          <w:lang w:val="en-US"/>
        </w:rPr>
        <w:t>for the 201</w:t>
      </w:r>
      <w:r>
        <w:rPr>
          <w:rFonts w:ascii="Arial" w:hAnsi="Arial" w:cs="Arial"/>
          <w:lang w:val="en-US"/>
        </w:rPr>
        <w:t>9</w:t>
      </w:r>
      <w:r w:rsidRPr="008B0C4E">
        <w:rPr>
          <w:rFonts w:ascii="Arial" w:hAnsi="Arial" w:cs="Arial"/>
          <w:lang w:val="en-US"/>
        </w:rPr>
        <w:t>-</w:t>
      </w:r>
      <w:r>
        <w:rPr>
          <w:rFonts w:ascii="Arial" w:hAnsi="Arial" w:cs="Arial"/>
          <w:lang w:val="en-US"/>
        </w:rPr>
        <w:t>20</w:t>
      </w:r>
      <w:r w:rsidRPr="008B0C4E">
        <w:rPr>
          <w:rFonts w:ascii="Arial" w:hAnsi="Arial" w:cs="Arial"/>
          <w:lang w:val="en-US"/>
        </w:rPr>
        <w:t xml:space="preserve"> Annual Wage Review (</w:t>
      </w:r>
      <w:r w:rsidRPr="008B0C4E">
        <w:rPr>
          <w:rFonts w:ascii="Arial" w:hAnsi="Arial" w:cs="Arial"/>
          <w:b/>
          <w:lang w:val="en-US"/>
        </w:rPr>
        <w:t>AWR</w:t>
      </w:r>
      <w:r w:rsidRPr="008B0C4E">
        <w:rPr>
          <w:rFonts w:ascii="Arial" w:hAnsi="Arial" w:cs="Arial"/>
          <w:lang w:val="en-US"/>
        </w:rPr>
        <w:t xml:space="preserve">). </w:t>
      </w:r>
    </w:p>
    <w:p w:rsidR="008B0C4E" w:rsidRDefault="008B0C4E" w:rsidP="008B0C4E">
      <w:pPr>
        <w:numPr>
          <w:ilvl w:val="0"/>
          <w:numId w:val="25"/>
        </w:numPr>
        <w:tabs>
          <w:tab w:val="num" w:pos="600"/>
        </w:tabs>
        <w:spacing w:after="240" w:line="240" w:lineRule="auto"/>
        <w:ind w:left="567" w:hanging="567"/>
        <w:jc w:val="both"/>
        <w:rPr>
          <w:rFonts w:ascii="Arial" w:hAnsi="Arial" w:cs="Arial"/>
          <w:lang w:val="en-US"/>
        </w:rPr>
      </w:pPr>
      <w:r w:rsidRPr="008B0C4E">
        <w:rPr>
          <w:rFonts w:ascii="Arial" w:hAnsi="Arial" w:cs="Arial"/>
          <w:lang w:val="en-US"/>
        </w:rPr>
        <w:t>The AWR plays a</w:t>
      </w:r>
      <w:r w:rsidR="003E2ADF">
        <w:rPr>
          <w:rFonts w:ascii="Arial" w:hAnsi="Arial" w:cs="Arial"/>
          <w:lang w:val="en-US"/>
        </w:rPr>
        <w:t>n essential</w:t>
      </w:r>
      <w:r w:rsidR="002B44BC">
        <w:rPr>
          <w:rFonts w:ascii="Arial" w:hAnsi="Arial" w:cs="Arial"/>
          <w:lang w:val="en-US"/>
        </w:rPr>
        <w:t xml:space="preserve"> </w:t>
      </w:r>
      <w:r w:rsidRPr="008B0C4E">
        <w:rPr>
          <w:rFonts w:ascii="Arial" w:hAnsi="Arial" w:cs="Arial"/>
          <w:lang w:val="en-US"/>
        </w:rPr>
        <w:t xml:space="preserve">role in </w:t>
      </w:r>
      <w:r w:rsidR="002B44BC">
        <w:rPr>
          <w:rFonts w:ascii="Arial" w:hAnsi="Arial" w:cs="Arial"/>
          <w:lang w:val="en-US"/>
        </w:rPr>
        <w:t xml:space="preserve">the maintenance of a </w:t>
      </w:r>
      <w:r w:rsidR="00345D08">
        <w:rPr>
          <w:rFonts w:ascii="Arial" w:hAnsi="Arial" w:cs="Arial"/>
          <w:lang w:val="en-US"/>
        </w:rPr>
        <w:t xml:space="preserve">strong and </w:t>
      </w:r>
      <w:r w:rsidR="0060463F">
        <w:rPr>
          <w:rFonts w:ascii="Arial" w:hAnsi="Arial" w:cs="Arial"/>
          <w:lang w:val="en-US"/>
        </w:rPr>
        <w:t>principled</w:t>
      </w:r>
      <w:r w:rsidR="002B44BC">
        <w:rPr>
          <w:rFonts w:ascii="Arial" w:hAnsi="Arial" w:cs="Arial"/>
          <w:lang w:val="en-US"/>
        </w:rPr>
        <w:t xml:space="preserve"> </w:t>
      </w:r>
      <w:r w:rsidR="00A67961">
        <w:rPr>
          <w:rFonts w:ascii="Arial" w:hAnsi="Arial" w:cs="Arial"/>
          <w:lang w:val="en-US"/>
        </w:rPr>
        <w:t>framework of minimum wage protections</w:t>
      </w:r>
      <w:r w:rsidRPr="008B0C4E">
        <w:rPr>
          <w:rFonts w:ascii="Arial" w:hAnsi="Arial" w:cs="Arial"/>
          <w:lang w:val="en-US"/>
        </w:rPr>
        <w:t xml:space="preserve">. </w:t>
      </w:r>
      <w:r w:rsidR="00CB4490">
        <w:rPr>
          <w:rFonts w:ascii="Arial" w:hAnsi="Arial" w:cs="Arial"/>
          <w:lang w:val="en-US"/>
        </w:rPr>
        <w:t xml:space="preserve">The granting of regular </w:t>
      </w:r>
      <w:r w:rsidR="00AC3846">
        <w:rPr>
          <w:rFonts w:ascii="Arial" w:hAnsi="Arial" w:cs="Arial"/>
          <w:lang w:val="en-US"/>
        </w:rPr>
        <w:t xml:space="preserve">wage increases </w:t>
      </w:r>
      <w:r w:rsidR="00CB4490">
        <w:rPr>
          <w:rFonts w:ascii="Arial" w:hAnsi="Arial" w:cs="Arial"/>
          <w:lang w:val="en-US"/>
        </w:rPr>
        <w:t xml:space="preserve">for </w:t>
      </w:r>
      <w:r w:rsidR="003E2ADF">
        <w:rPr>
          <w:rFonts w:ascii="Arial" w:hAnsi="Arial" w:cs="Arial"/>
          <w:lang w:val="en-US"/>
        </w:rPr>
        <w:t xml:space="preserve">Australia’s most vulnerable workers </w:t>
      </w:r>
      <w:r w:rsidR="00CB4490">
        <w:rPr>
          <w:rFonts w:ascii="Arial" w:hAnsi="Arial" w:cs="Arial"/>
          <w:lang w:val="en-US"/>
        </w:rPr>
        <w:t xml:space="preserve">is an indispensable part of the </w:t>
      </w:r>
      <w:r w:rsidR="003E2ADF">
        <w:rPr>
          <w:rFonts w:ascii="Arial" w:hAnsi="Arial" w:cs="Arial"/>
          <w:lang w:val="en-US"/>
        </w:rPr>
        <w:t xml:space="preserve">country’s </w:t>
      </w:r>
      <w:r w:rsidR="00CB4490">
        <w:rPr>
          <w:rFonts w:ascii="Arial" w:hAnsi="Arial" w:cs="Arial"/>
          <w:lang w:val="en-US"/>
        </w:rPr>
        <w:t xml:space="preserve">industrial relations </w:t>
      </w:r>
      <w:r w:rsidR="003E2ADF">
        <w:rPr>
          <w:rFonts w:ascii="Arial" w:hAnsi="Arial" w:cs="Arial"/>
          <w:lang w:val="en-US"/>
        </w:rPr>
        <w:t>framework</w:t>
      </w:r>
      <w:r w:rsidR="00CB4490">
        <w:rPr>
          <w:rFonts w:ascii="Arial" w:hAnsi="Arial" w:cs="Arial"/>
          <w:lang w:val="en-US"/>
        </w:rPr>
        <w:t xml:space="preserve">, and </w:t>
      </w:r>
      <w:r w:rsidR="003E2ADF">
        <w:rPr>
          <w:rFonts w:ascii="Arial" w:hAnsi="Arial" w:cs="Arial"/>
          <w:lang w:val="en-US"/>
        </w:rPr>
        <w:t xml:space="preserve">is critical for assisting low and middle earners to achieve and maintain an adequate and dignified standard of living. </w:t>
      </w:r>
      <w:r w:rsidRPr="008B0C4E">
        <w:rPr>
          <w:rFonts w:ascii="Arial" w:hAnsi="Arial" w:cs="Arial"/>
          <w:lang w:val="en-US"/>
        </w:rPr>
        <w:t xml:space="preserve"> </w:t>
      </w:r>
    </w:p>
    <w:p w:rsidR="008B0C4E" w:rsidRPr="008B0C4E" w:rsidRDefault="008B0C4E" w:rsidP="00490B43">
      <w:pPr>
        <w:numPr>
          <w:ilvl w:val="0"/>
          <w:numId w:val="25"/>
        </w:numPr>
        <w:tabs>
          <w:tab w:val="num" w:pos="600"/>
        </w:tabs>
        <w:spacing w:after="120" w:line="240" w:lineRule="auto"/>
        <w:ind w:left="567" w:hanging="567"/>
        <w:jc w:val="both"/>
        <w:rPr>
          <w:rFonts w:ascii="Arial" w:eastAsiaTheme="minorHAnsi" w:hAnsi="Arial" w:cs="Arial"/>
          <w:color w:val="000000" w:themeColor="text1"/>
        </w:rPr>
      </w:pPr>
      <w:r>
        <w:rPr>
          <w:rFonts w:ascii="Arial" w:eastAsiaTheme="minorHAnsi" w:hAnsi="Arial" w:cs="Arial"/>
          <w:color w:val="000000" w:themeColor="text1"/>
        </w:rPr>
        <w:t xml:space="preserve">Pursuant to </w:t>
      </w:r>
      <w:r w:rsidRPr="008B0C4E">
        <w:rPr>
          <w:rFonts w:ascii="Arial" w:eastAsiaTheme="minorHAnsi" w:hAnsi="Arial" w:cs="Arial"/>
          <w:color w:val="000000" w:themeColor="text1"/>
        </w:rPr>
        <w:t xml:space="preserve">section 284 of the </w:t>
      </w:r>
      <w:r w:rsidRPr="008B0C4E">
        <w:rPr>
          <w:rFonts w:ascii="Arial" w:eastAsiaTheme="minorHAnsi" w:hAnsi="Arial" w:cs="Arial"/>
          <w:i/>
          <w:color w:val="000000" w:themeColor="text1"/>
        </w:rPr>
        <w:t>Fair Work Act 2009</w:t>
      </w:r>
      <w:r w:rsidRPr="008B0C4E">
        <w:rPr>
          <w:rFonts w:ascii="Arial" w:eastAsiaTheme="minorHAnsi" w:hAnsi="Arial" w:cs="Arial"/>
          <w:color w:val="000000" w:themeColor="text1"/>
        </w:rPr>
        <w:t xml:space="preserve"> (</w:t>
      </w:r>
      <w:r w:rsidRPr="008B0C4E">
        <w:rPr>
          <w:rFonts w:ascii="Arial" w:eastAsiaTheme="minorHAnsi" w:hAnsi="Arial" w:cs="Arial"/>
          <w:b/>
          <w:color w:val="000000" w:themeColor="text1"/>
        </w:rPr>
        <w:t>the Act</w:t>
      </w:r>
      <w:r w:rsidRPr="008B0C4E">
        <w:rPr>
          <w:rFonts w:ascii="Arial" w:eastAsiaTheme="minorHAnsi" w:hAnsi="Arial" w:cs="Arial"/>
          <w:color w:val="000000" w:themeColor="text1"/>
        </w:rPr>
        <w:t xml:space="preserve">), </w:t>
      </w:r>
      <w:r w:rsidR="00A67961">
        <w:rPr>
          <w:rFonts w:ascii="Arial" w:eastAsiaTheme="minorHAnsi" w:hAnsi="Arial" w:cs="Arial"/>
          <w:color w:val="000000" w:themeColor="text1"/>
        </w:rPr>
        <w:t>t</w:t>
      </w:r>
      <w:r w:rsidRPr="008B0C4E">
        <w:rPr>
          <w:rFonts w:ascii="Arial" w:eastAsiaTheme="minorHAnsi" w:hAnsi="Arial" w:cs="Arial"/>
          <w:color w:val="000000" w:themeColor="text1"/>
        </w:rPr>
        <w:t xml:space="preserve">he Panel is </w:t>
      </w:r>
      <w:r w:rsidR="00A67961">
        <w:rPr>
          <w:rFonts w:ascii="Arial" w:eastAsiaTheme="minorHAnsi" w:hAnsi="Arial" w:cs="Arial"/>
          <w:color w:val="000000" w:themeColor="text1"/>
        </w:rPr>
        <w:t>tasked with balancing a diverse range of statutory criteria</w:t>
      </w:r>
      <w:r w:rsidRPr="008B0C4E">
        <w:rPr>
          <w:rFonts w:ascii="Arial" w:eastAsiaTheme="minorHAnsi" w:hAnsi="Arial" w:cs="Arial"/>
          <w:color w:val="000000" w:themeColor="text1"/>
        </w:rPr>
        <w:t xml:space="preserve"> to ‘establish and maintain a safety net of fair minimum wages’ (the ‘minimum wages objective’)</w:t>
      </w:r>
      <w:r w:rsidR="00A67961">
        <w:rPr>
          <w:rFonts w:ascii="Arial" w:eastAsiaTheme="minorHAnsi" w:hAnsi="Arial" w:cs="Arial"/>
          <w:color w:val="000000" w:themeColor="text1"/>
        </w:rPr>
        <w:t>, including</w:t>
      </w:r>
      <w:r w:rsidRPr="008B0C4E">
        <w:rPr>
          <w:rFonts w:ascii="Arial" w:eastAsiaTheme="minorHAnsi" w:hAnsi="Arial" w:cs="Arial"/>
          <w:color w:val="000000" w:themeColor="text1"/>
        </w:rPr>
        <w:t xml:space="preserve">:  </w:t>
      </w:r>
    </w:p>
    <w:p w:rsidR="008B0C4E" w:rsidRPr="008B0C4E" w:rsidRDefault="008B0C4E" w:rsidP="00490B43">
      <w:pPr>
        <w:numPr>
          <w:ilvl w:val="1"/>
          <w:numId w:val="25"/>
        </w:numPr>
        <w:shd w:val="clear" w:color="auto" w:fill="FFFFFF"/>
        <w:spacing w:before="120" w:after="120" w:line="240" w:lineRule="auto"/>
        <w:ind w:left="1134" w:hanging="567"/>
        <w:jc w:val="both"/>
        <w:rPr>
          <w:rFonts w:ascii="Arial" w:hAnsi="Arial" w:cs="Arial"/>
          <w:color w:val="000000"/>
          <w:lang w:eastAsia="en-AU"/>
        </w:rPr>
      </w:pPr>
      <w:r w:rsidRPr="008B0C4E">
        <w:rPr>
          <w:rFonts w:ascii="Arial" w:hAnsi="Arial" w:cs="Arial"/>
          <w:color w:val="000000"/>
          <w:lang w:eastAsia="en-AU"/>
        </w:rPr>
        <w:t>the performance and competitiveness of the national economy, including productivity, business competitiveness and viability, inflation and employment growth; and</w:t>
      </w:r>
    </w:p>
    <w:p w:rsidR="008B0C4E" w:rsidRPr="008B0C4E" w:rsidRDefault="008B0C4E" w:rsidP="00490B43">
      <w:pPr>
        <w:numPr>
          <w:ilvl w:val="1"/>
          <w:numId w:val="25"/>
        </w:numPr>
        <w:shd w:val="clear" w:color="auto" w:fill="FFFFFF"/>
        <w:spacing w:before="120" w:after="120" w:line="240" w:lineRule="auto"/>
        <w:ind w:left="1134" w:hanging="567"/>
        <w:jc w:val="both"/>
        <w:rPr>
          <w:rFonts w:ascii="Arial" w:hAnsi="Arial" w:cs="Arial"/>
          <w:color w:val="000000"/>
          <w:lang w:eastAsia="en-AU"/>
        </w:rPr>
      </w:pPr>
      <w:r w:rsidRPr="008B0C4E">
        <w:rPr>
          <w:rFonts w:ascii="Arial" w:hAnsi="Arial" w:cs="Arial"/>
          <w:color w:val="000000"/>
          <w:lang w:eastAsia="en-AU"/>
        </w:rPr>
        <w:t>promoting social inclusion through increased workforce participation; and</w:t>
      </w:r>
    </w:p>
    <w:p w:rsidR="008B0C4E" w:rsidRPr="008B0C4E" w:rsidRDefault="008B0C4E" w:rsidP="00490B43">
      <w:pPr>
        <w:numPr>
          <w:ilvl w:val="1"/>
          <w:numId w:val="25"/>
        </w:numPr>
        <w:shd w:val="clear" w:color="auto" w:fill="FFFFFF"/>
        <w:spacing w:before="120" w:after="120" w:line="240" w:lineRule="auto"/>
        <w:ind w:left="1134" w:hanging="567"/>
        <w:jc w:val="both"/>
        <w:rPr>
          <w:rFonts w:ascii="Arial" w:hAnsi="Arial" w:cs="Arial"/>
          <w:color w:val="000000"/>
          <w:lang w:eastAsia="en-AU"/>
        </w:rPr>
      </w:pPr>
      <w:r w:rsidRPr="008B0C4E">
        <w:rPr>
          <w:rFonts w:ascii="Arial" w:hAnsi="Arial" w:cs="Arial"/>
          <w:color w:val="000000"/>
          <w:lang w:eastAsia="en-AU"/>
        </w:rPr>
        <w:t>relative living standards and the needs of the low paid; and</w:t>
      </w:r>
    </w:p>
    <w:p w:rsidR="008B0C4E" w:rsidRPr="008B0C4E" w:rsidRDefault="008B0C4E" w:rsidP="00490B43">
      <w:pPr>
        <w:numPr>
          <w:ilvl w:val="1"/>
          <w:numId w:val="25"/>
        </w:numPr>
        <w:shd w:val="clear" w:color="auto" w:fill="FFFFFF"/>
        <w:spacing w:before="120" w:after="120" w:line="240" w:lineRule="auto"/>
        <w:ind w:left="1134" w:hanging="567"/>
        <w:jc w:val="both"/>
        <w:rPr>
          <w:rFonts w:ascii="Arial" w:hAnsi="Arial" w:cs="Arial"/>
          <w:color w:val="000000"/>
          <w:lang w:eastAsia="en-AU"/>
        </w:rPr>
      </w:pPr>
      <w:r w:rsidRPr="008B0C4E">
        <w:rPr>
          <w:rFonts w:ascii="Arial" w:hAnsi="Arial" w:cs="Arial"/>
          <w:color w:val="000000"/>
          <w:lang w:eastAsia="en-AU"/>
        </w:rPr>
        <w:t>the principle of equal remuneration for work of equal or comparable value; and</w:t>
      </w:r>
    </w:p>
    <w:p w:rsidR="008B0C4E" w:rsidRPr="00C76840" w:rsidRDefault="008B0C4E" w:rsidP="0003732C">
      <w:pPr>
        <w:numPr>
          <w:ilvl w:val="1"/>
          <w:numId w:val="25"/>
        </w:numPr>
        <w:shd w:val="clear" w:color="auto" w:fill="FFFFFF"/>
        <w:spacing w:before="120" w:after="240" w:line="240" w:lineRule="auto"/>
        <w:ind w:left="1134" w:hanging="567"/>
        <w:jc w:val="both"/>
        <w:rPr>
          <w:rFonts w:ascii="Arial" w:hAnsi="Arial" w:cs="Arial"/>
          <w:color w:val="000000"/>
          <w:lang w:eastAsia="en-AU"/>
        </w:rPr>
      </w:pPr>
      <w:r w:rsidRPr="008B0C4E">
        <w:rPr>
          <w:rFonts w:ascii="Arial" w:hAnsi="Arial" w:cs="Arial"/>
          <w:color w:val="000000"/>
          <w:lang w:eastAsia="en-AU"/>
        </w:rPr>
        <w:t xml:space="preserve">providing a comprehensive range of fair minimum wages to junior employees, employees to whom training arrangements apply and employees with a </w:t>
      </w:r>
      <w:r w:rsidRPr="00C76840">
        <w:rPr>
          <w:rFonts w:ascii="Arial" w:hAnsi="Arial" w:cs="Arial"/>
          <w:color w:val="000000"/>
          <w:lang w:eastAsia="en-AU"/>
        </w:rPr>
        <w:t>disability.</w:t>
      </w:r>
    </w:p>
    <w:p w:rsidR="008B0C4E" w:rsidRPr="00C76840" w:rsidRDefault="008B0C4E" w:rsidP="008B0C4E">
      <w:pPr>
        <w:numPr>
          <w:ilvl w:val="0"/>
          <w:numId w:val="25"/>
        </w:numPr>
        <w:shd w:val="clear" w:color="auto" w:fill="FFFFFF"/>
        <w:spacing w:after="240" w:line="240" w:lineRule="auto"/>
        <w:ind w:left="567" w:hanging="567"/>
        <w:jc w:val="both"/>
        <w:rPr>
          <w:rFonts w:ascii="Arial" w:hAnsi="Arial" w:cs="Arial"/>
          <w:color w:val="000000"/>
          <w:lang w:eastAsia="en-AU"/>
        </w:rPr>
      </w:pPr>
      <w:r w:rsidRPr="00C76840">
        <w:rPr>
          <w:rFonts w:ascii="Arial" w:eastAsiaTheme="minorHAnsi" w:hAnsi="Arial" w:cs="Arial"/>
          <w:color w:val="000000" w:themeColor="text1"/>
        </w:rPr>
        <w:t>In adjusting rates of pay in awards, the Panel must also have regard to the ‘modern awards objective’, which requires that it ensure that modern awards, together with the National Employment Standards, provide a fair and relevant minimum safety net of terms and conditions.</w:t>
      </w:r>
      <w:r w:rsidRPr="00C76840">
        <w:rPr>
          <w:rFonts w:ascii="Arial" w:eastAsiaTheme="minorHAnsi" w:hAnsi="Arial" w:cs="Arial"/>
          <w:color w:val="000000" w:themeColor="text1"/>
          <w:vertAlign w:val="superscript"/>
        </w:rPr>
        <w:footnoteReference w:id="1"/>
      </w:r>
      <w:r w:rsidRPr="00C76840">
        <w:rPr>
          <w:rFonts w:ascii="Arial" w:eastAsiaTheme="minorHAnsi" w:hAnsi="Arial" w:cs="Arial"/>
          <w:color w:val="000000" w:themeColor="text1"/>
        </w:rPr>
        <w:t xml:space="preserve">  </w:t>
      </w:r>
      <w:r w:rsidR="00A33B50" w:rsidRPr="00C76840">
        <w:t>Further, the Panel must take into account the objects of the Act in performing its functi</w:t>
      </w:r>
      <w:r w:rsidR="00C76840" w:rsidRPr="00C76840">
        <w:t>ons or exercising its powers, including the AWR</w:t>
      </w:r>
      <w:r w:rsidR="00A33B50" w:rsidRPr="00C76840">
        <w:t>.</w:t>
      </w:r>
      <w:r w:rsidR="00E35D97">
        <w:rPr>
          <w:rStyle w:val="FootnoteReference"/>
        </w:rPr>
        <w:footnoteReference w:id="2"/>
      </w:r>
    </w:p>
    <w:p w:rsidR="008B0C4E" w:rsidRPr="008B0C4E" w:rsidRDefault="008B0C4E" w:rsidP="008B0C4E">
      <w:pPr>
        <w:numPr>
          <w:ilvl w:val="0"/>
          <w:numId w:val="25"/>
        </w:numPr>
        <w:tabs>
          <w:tab w:val="num" w:pos="600"/>
        </w:tabs>
        <w:spacing w:after="240" w:line="240" w:lineRule="auto"/>
        <w:ind w:left="567" w:hanging="567"/>
        <w:jc w:val="both"/>
        <w:rPr>
          <w:rFonts w:ascii="Arial" w:hAnsi="Arial" w:cs="Arial"/>
          <w:lang w:val="en-US"/>
        </w:rPr>
      </w:pPr>
      <w:r w:rsidRPr="008B0C4E">
        <w:rPr>
          <w:rFonts w:ascii="Arial" w:hAnsi="Arial" w:cs="Arial"/>
          <w:lang w:val="en-US"/>
        </w:rPr>
        <w:t xml:space="preserve">This submission </w:t>
      </w:r>
      <w:r w:rsidR="0060463F">
        <w:rPr>
          <w:rFonts w:ascii="Arial" w:hAnsi="Arial" w:cs="Arial"/>
          <w:lang w:val="en-US"/>
        </w:rPr>
        <w:t xml:space="preserve">explores </w:t>
      </w:r>
      <w:r w:rsidR="00345D08">
        <w:rPr>
          <w:rFonts w:ascii="Arial" w:hAnsi="Arial" w:cs="Arial"/>
          <w:lang w:val="en-US"/>
        </w:rPr>
        <w:t xml:space="preserve">economic and labour market </w:t>
      </w:r>
      <w:r w:rsidR="0060463F">
        <w:rPr>
          <w:rFonts w:ascii="Arial" w:hAnsi="Arial" w:cs="Arial"/>
          <w:lang w:val="en-US"/>
        </w:rPr>
        <w:t>considerations relevant to the Panel’s deliberations, with a particular focus on issues affecting Western Australian</w:t>
      </w:r>
      <w:r w:rsidR="00AC3846">
        <w:rPr>
          <w:rFonts w:ascii="Arial" w:hAnsi="Arial" w:cs="Arial"/>
          <w:lang w:val="en-US"/>
        </w:rPr>
        <w:t xml:space="preserve"> </w:t>
      </w:r>
      <w:r w:rsidR="00E35D97">
        <w:rPr>
          <w:rFonts w:ascii="Arial" w:hAnsi="Arial" w:cs="Arial"/>
          <w:lang w:val="en-US"/>
        </w:rPr>
        <w:t>employers and employees</w:t>
      </w:r>
      <w:r w:rsidR="0060463F">
        <w:rPr>
          <w:rFonts w:ascii="Arial" w:hAnsi="Arial" w:cs="Arial"/>
          <w:lang w:val="en-US"/>
        </w:rPr>
        <w:t xml:space="preserve">. </w:t>
      </w:r>
      <w:r w:rsidRPr="008B0C4E">
        <w:rPr>
          <w:rFonts w:ascii="Arial" w:hAnsi="Arial" w:cs="Arial"/>
          <w:lang w:val="en-US"/>
        </w:rPr>
        <w:t xml:space="preserve"> </w:t>
      </w:r>
    </w:p>
    <w:p w:rsidR="008B0C4E" w:rsidRPr="00FB71DF" w:rsidRDefault="008B0C4E" w:rsidP="004B17CF">
      <w:pPr>
        <w:keepNext/>
        <w:keepLines/>
        <w:spacing w:after="240" w:line="240" w:lineRule="auto"/>
        <w:outlineLvl w:val="0"/>
        <w:rPr>
          <w:rFonts w:asciiTheme="majorHAnsi" w:eastAsiaTheme="majorEastAsia" w:hAnsiTheme="majorHAnsi" w:cstheme="majorBidi"/>
          <w:b/>
          <w:bCs/>
          <w:color w:val="0070C0"/>
          <w:sz w:val="32"/>
          <w:szCs w:val="28"/>
        </w:rPr>
      </w:pPr>
      <w:r w:rsidRPr="00FB71DF">
        <w:rPr>
          <w:rFonts w:asciiTheme="majorHAnsi" w:eastAsiaTheme="majorEastAsia" w:hAnsiTheme="majorHAnsi" w:cstheme="majorBidi"/>
          <w:b/>
          <w:bCs/>
          <w:color w:val="0070C0"/>
          <w:sz w:val="32"/>
          <w:szCs w:val="28"/>
        </w:rPr>
        <w:lastRenderedPageBreak/>
        <w:t>Overview</w:t>
      </w:r>
    </w:p>
    <w:p w:rsidR="00EA3A5A" w:rsidRPr="005107FD" w:rsidRDefault="00EA3A5A" w:rsidP="004B17CF">
      <w:pPr>
        <w:numPr>
          <w:ilvl w:val="0"/>
          <w:numId w:val="25"/>
        </w:numPr>
        <w:tabs>
          <w:tab w:val="num" w:pos="600"/>
        </w:tabs>
        <w:spacing w:after="240" w:line="240" w:lineRule="auto"/>
        <w:ind w:left="567" w:hanging="567"/>
        <w:jc w:val="both"/>
        <w:rPr>
          <w:rFonts w:ascii="Arial" w:eastAsiaTheme="minorHAnsi" w:hAnsi="Arial" w:cs="Arial"/>
          <w:color w:val="000000" w:themeColor="text1"/>
        </w:rPr>
      </w:pPr>
      <w:r>
        <w:t xml:space="preserve">The Western Australian Government believes Australian workers should enjoy a modern framework of wages and working conditions that protects and advances </w:t>
      </w:r>
      <w:r w:rsidRPr="005107FD">
        <w:t xml:space="preserve">their interests and enables them to achieve dignity and security in employment. </w:t>
      </w:r>
    </w:p>
    <w:p w:rsidR="008B0C4E" w:rsidRPr="005107FD" w:rsidRDefault="00E35D97" w:rsidP="008B0C4E">
      <w:pPr>
        <w:numPr>
          <w:ilvl w:val="0"/>
          <w:numId w:val="25"/>
        </w:numPr>
        <w:tabs>
          <w:tab w:val="num" w:pos="600"/>
        </w:tabs>
        <w:spacing w:after="240" w:line="240" w:lineRule="auto"/>
        <w:ind w:left="567" w:hanging="567"/>
        <w:jc w:val="both"/>
        <w:rPr>
          <w:rFonts w:ascii="Arial" w:eastAsiaTheme="minorHAnsi" w:hAnsi="Arial" w:cs="Arial"/>
          <w:color w:val="000000" w:themeColor="text1"/>
        </w:rPr>
      </w:pPr>
      <w:r>
        <w:rPr>
          <w:rFonts w:ascii="Arial" w:eastAsiaTheme="minorHAnsi" w:hAnsi="Arial" w:cs="Arial"/>
          <w:color w:val="000000" w:themeColor="text1"/>
        </w:rPr>
        <w:t>T</w:t>
      </w:r>
      <w:r w:rsidR="00994726" w:rsidRPr="005107FD">
        <w:rPr>
          <w:rFonts w:ascii="Arial" w:eastAsiaTheme="minorHAnsi" w:hAnsi="Arial" w:cs="Arial"/>
          <w:color w:val="000000" w:themeColor="text1"/>
        </w:rPr>
        <w:t xml:space="preserve">he Western Australian Government encourages the Panel to take a </w:t>
      </w:r>
      <w:r w:rsidR="00AC3846" w:rsidRPr="005107FD">
        <w:rPr>
          <w:rFonts w:ascii="Arial" w:eastAsiaTheme="minorHAnsi" w:hAnsi="Arial" w:cs="Arial"/>
          <w:color w:val="000000" w:themeColor="text1"/>
        </w:rPr>
        <w:t xml:space="preserve">holistic </w:t>
      </w:r>
      <w:r w:rsidR="008B0C4E" w:rsidRPr="005107FD">
        <w:rPr>
          <w:rFonts w:ascii="Arial" w:eastAsiaTheme="minorHAnsi" w:hAnsi="Arial" w:cs="Arial"/>
          <w:color w:val="000000" w:themeColor="text1"/>
        </w:rPr>
        <w:t xml:space="preserve">approach to the </w:t>
      </w:r>
      <w:r w:rsidR="00AC3846" w:rsidRPr="005107FD">
        <w:rPr>
          <w:rFonts w:ascii="Arial" w:eastAsiaTheme="minorHAnsi" w:hAnsi="Arial" w:cs="Arial"/>
          <w:color w:val="000000" w:themeColor="text1"/>
        </w:rPr>
        <w:t xml:space="preserve">task of </w:t>
      </w:r>
      <w:r w:rsidR="00994726" w:rsidRPr="005107FD">
        <w:rPr>
          <w:rFonts w:ascii="Arial" w:eastAsiaTheme="minorHAnsi" w:hAnsi="Arial" w:cs="Arial"/>
          <w:color w:val="000000" w:themeColor="text1"/>
        </w:rPr>
        <w:t xml:space="preserve">balancing the disparate </w:t>
      </w:r>
      <w:r w:rsidR="006D72E0" w:rsidRPr="005107FD">
        <w:rPr>
          <w:rFonts w:ascii="Arial" w:eastAsiaTheme="minorHAnsi" w:hAnsi="Arial" w:cs="Arial"/>
          <w:color w:val="000000" w:themeColor="text1"/>
        </w:rPr>
        <w:t>criteria it is required to consider</w:t>
      </w:r>
      <w:r>
        <w:rPr>
          <w:rFonts w:ascii="Arial" w:eastAsiaTheme="minorHAnsi" w:hAnsi="Arial" w:cs="Arial"/>
          <w:color w:val="000000" w:themeColor="text1"/>
        </w:rPr>
        <w:t xml:space="preserve"> as part of the AWR</w:t>
      </w:r>
      <w:r w:rsidR="006D72E0" w:rsidRPr="005107FD">
        <w:rPr>
          <w:rFonts w:ascii="Arial" w:eastAsiaTheme="minorHAnsi" w:hAnsi="Arial" w:cs="Arial"/>
          <w:color w:val="000000" w:themeColor="text1"/>
        </w:rPr>
        <w:t xml:space="preserve">. The Panel has consistently rejected adopting a mechanistic or formulaic approach to this task, </w:t>
      </w:r>
      <w:r w:rsidR="005107FD" w:rsidRPr="005107FD">
        <w:rPr>
          <w:rFonts w:ascii="Arial" w:eastAsiaTheme="minorHAnsi" w:hAnsi="Arial" w:cs="Arial"/>
          <w:color w:val="000000" w:themeColor="text1"/>
        </w:rPr>
        <w:t xml:space="preserve">and </w:t>
      </w:r>
      <w:r>
        <w:rPr>
          <w:rFonts w:ascii="Arial" w:eastAsiaTheme="minorHAnsi" w:hAnsi="Arial" w:cs="Arial"/>
          <w:color w:val="000000" w:themeColor="text1"/>
        </w:rPr>
        <w:t xml:space="preserve">the Western Australian Government contends </w:t>
      </w:r>
      <w:r w:rsidR="005107FD" w:rsidRPr="005107FD">
        <w:rPr>
          <w:rFonts w:ascii="Arial" w:eastAsiaTheme="minorHAnsi" w:hAnsi="Arial" w:cs="Arial"/>
          <w:color w:val="000000" w:themeColor="text1"/>
        </w:rPr>
        <w:t xml:space="preserve">this is a </w:t>
      </w:r>
      <w:r>
        <w:rPr>
          <w:rFonts w:ascii="Arial" w:eastAsiaTheme="minorHAnsi" w:hAnsi="Arial" w:cs="Arial"/>
          <w:color w:val="000000" w:themeColor="text1"/>
        </w:rPr>
        <w:t>sensible</w:t>
      </w:r>
      <w:r w:rsidR="005107FD">
        <w:rPr>
          <w:rFonts w:ascii="Arial" w:eastAsiaTheme="minorHAnsi" w:hAnsi="Arial" w:cs="Arial"/>
          <w:color w:val="000000" w:themeColor="text1"/>
        </w:rPr>
        <w:t xml:space="preserve"> </w:t>
      </w:r>
      <w:r w:rsidR="005107FD" w:rsidRPr="005107FD">
        <w:rPr>
          <w:rFonts w:ascii="Arial" w:eastAsiaTheme="minorHAnsi" w:hAnsi="Arial" w:cs="Arial"/>
          <w:color w:val="000000" w:themeColor="text1"/>
        </w:rPr>
        <w:t xml:space="preserve">course of action.  </w:t>
      </w:r>
      <w:r w:rsidR="006D72E0" w:rsidRPr="005107FD">
        <w:rPr>
          <w:rFonts w:ascii="Arial" w:eastAsiaTheme="minorHAnsi" w:hAnsi="Arial" w:cs="Arial"/>
          <w:color w:val="000000" w:themeColor="text1"/>
        </w:rPr>
        <w:t xml:space="preserve"> </w:t>
      </w:r>
    </w:p>
    <w:p w:rsidR="00AB0264" w:rsidRPr="002230CD" w:rsidRDefault="00AB0264" w:rsidP="004B17CF">
      <w:pPr>
        <w:numPr>
          <w:ilvl w:val="0"/>
          <w:numId w:val="25"/>
        </w:numPr>
        <w:spacing w:after="240" w:line="240" w:lineRule="auto"/>
        <w:ind w:left="567" w:hanging="567"/>
        <w:jc w:val="both"/>
        <w:rPr>
          <w:rFonts w:ascii="Arial" w:hAnsi="Arial" w:cs="Arial"/>
          <w:color w:val="000000" w:themeColor="text1"/>
          <w:lang w:val="en-US"/>
        </w:rPr>
      </w:pPr>
      <w:r w:rsidRPr="002230CD">
        <w:rPr>
          <w:rFonts w:ascii="Arial" w:hAnsi="Arial" w:cs="Arial"/>
          <w:color w:val="000000" w:themeColor="text1"/>
          <w:lang w:val="en-US"/>
        </w:rPr>
        <w:t>The Western Australian Government notes the Panel awarded a 3.0 per cent increase to minimum and award wages</w:t>
      </w:r>
      <w:r w:rsidR="00E35D97">
        <w:rPr>
          <w:rFonts w:ascii="Arial" w:hAnsi="Arial" w:cs="Arial"/>
          <w:color w:val="000000" w:themeColor="text1"/>
          <w:lang w:val="en-US"/>
        </w:rPr>
        <w:t xml:space="preserve"> in 2019</w:t>
      </w:r>
      <w:r w:rsidRPr="002230CD">
        <w:rPr>
          <w:rFonts w:ascii="Arial" w:hAnsi="Arial" w:cs="Arial"/>
          <w:color w:val="000000" w:themeColor="text1"/>
          <w:lang w:val="en-US"/>
        </w:rPr>
        <w:t xml:space="preserve">, following increases of 3.3 percent in 2017 and 3.5 per cent in 2018. The Western Australian Government contends </w:t>
      </w:r>
      <w:r>
        <w:rPr>
          <w:rFonts w:ascii="Arial" w:hAnsi="Arial" w:cs="Arial"/>
          <w:color w:val="000000" w:themeColor="text1"/>
          <w:lang w:val="en-US"/>
        </w:rPr>
        <w:t xml:space="preserve">the Panel’s </w:t>
      </w:r>
      <w:r w:rsidR="005107FD">
        <w:rPr>
          <w:rFonts w:ascii="Arial" w:hAnsi="Arial" w:cs="Arial"/>
          <w:color w:val="000000" w:themeColor="text1"/>
          <w:lang w:val="en-US"/>
        </w:rPr>
        <w:t xml:space="preserve">decision in </w:t>
      </w:r>
      <w:r>
        <w:rPr>
          <w:rFonts w:ascii="Arial" w:hAnsi="Arial" w:cs="Arial"/>
          <w:color w:val="000000" w:themeColor="text1"/>
          <w:lang w:val="en-US"/>
        </w:rPr>
        <w:t xml:space="preserve">2019 </w:t>
      </w:r>
      <w:r w:rsidRPr="002230CD">
        <w:rPr>
          <w:rFonts w:ascii="Arial" w:hAnsi="Arial" w:cs="Arial"/>
          <w:color w:val="000000" w:themeColor="text1"/>
          <w:lang w:val="en-US"/>
        </w:rPr>
        <w:t xml:space="preserve">was fair and </w:t>
      </w:r>
      <w:r w:rsidR="005107FD">
        <w:rPr>
          <w:rFonts w:ascii="Arial" w:hAnsi="Arial" w:cs="Arial"/>
          <w:color w:val="000000" w:themeColor="text1"/>
          <w:lang w:val="en-US"/>
        </w:rPr>
        <w:t xml:space="preserve">considered, </w:t>
      </w:r>
      <w:r w:rsidRPr="002230CD">
        <w:rPr>
          <w:rFonts w:ascii="Arial" w:hAnsi="Arial" w:cs="Arial"/>
          <w:color w:val="000000" w:themeColor="text1"/>
          <w:lang w:val="en-US"/>
        </w:rPr>
        <w:t>assist</w:t>
      </w:r>
      <w:r w:rsidR="005107FD">
        <w:rPr>
          <w:rFonts w:ascii="Arial" w:hAnsi="Arial" w:cs="Arial"/>
          <w:color w:val="000000" w:themeColor="text1"/>
          <w:lang w:val="en-US"/>
        </w:rPr>
        <w:t>ing</w:t>
      </w:r>
      <w:r w:rsidRPr="002230CD">
        <w:rPr>
          <w:rFonts w:ascii="Arial" w:hAnsi="Arial" w:cs="Arial"/>
          <w:color w:val="000000" w:themeColor="text1"/>
          <w:lang w:val="en-US"/>
        </w:rPr>
        <w:t xml:space="preserve"> low paid and vulnerable employees </w:t>
      </w:r>
      <w:r>
        <w:rPr>
          <w:rFonts w:ascii="Arial" w:hAnsi="Arial" w:cs="Arial"/>
          <w:color w:val="000000" w:themeColor="text1"/>
          <w:lang w:val="en-US"/>
        </w:rPr>
        <w:t>with</w:t>
      </w:r>
      <w:r w:rsidRPr="002230CD">
        <w:rPr>
          <w:rFonts w:ascii="Arial" w:hAnsi="Arial" w:cs="Arial"/>
          <w:color w:val="000000" w:themeColor="text1"/>
          <w:lang w:val="en-US"/>
        </w:rPr>
        <w:t xml:space="preserve"> maintain</w:t>
      </w:r>
      <w:r>
        <w:rPr>
          <w:rFonts w:ascii="Arial" w:hAnsi="Arial" w:cs="Arial"/>
          <w:color w:val="000000" w:themeColor="text1"/>
          <w:lang w:val="en-US"/>
        </w:rPr>
        <w:t>ing</w:t>
      </w:r>
      <w:r w:rsidRPr="002230CD">
        <w:rPr>
          <w:rFonts w:ascii="Arial" w:hAnsi="Arial" w:cs="Arial"/>
          <w:color w:val="000000" w:themeColor="text1"/>
          <w:lang w:val="en-US"/>
        </w:rPr>
        <w:t xml:space="preserve"> a</w:t>
      </w:r>
      <w:r w:rsidR="00482C8C">
        <w:rPr>
          <w:rFonts w:ascii="Arial" w:hAnsi="Arial" w:cs="Arial"/>
          <w:color w:val="000000" w:themeColor="text1"/>
          <w:lang w:val="en-US"/>
        </w:rPr>
        <w:t xml:space="preserve"> decent</w:t>
      </w:r>
      <w:r>
        <w:rPr>
          <w:rFonts w:ascii="Arial" w:hAnsi="Arial" w:cs="Arial"/>
          <w:color w:val="000000" w:themeColor="text1"/>
          <w:lang w:val="en-US"/>
        </w:rPr>
        <w:t xml:space="preserve"> </w:t>
      </w:r>
      <w:r w:rsidRPr="002230CD">
        <w:rPr>
          <w:rFonts w:ascii="Arial" w:hAnsi="Arial" w:cs="Arial"/>
          <w:color w:val="000000" w:themeColor="text1"/>
          <w:lang w:val="en-US"/>
        </w:rPr>
        <w:t xml:space="preserve">standard of living whilst not adversely affecting Australia’s economic outlook.   </w:t>
      </w:r>
    </w:p>
    <w:p w:rsidR="008D5F84" w:rsidRPr="001C23DF" w:rsidRDefault="00307D59" w:rsidP="004B17CF">
      <w:pPr>
        <w:pStyle w:val="ListParagraph"/>
        <w:numPr>
          <w:ilvl w:val="0"/>
          <w:numId w:val="25"/>
        </w:numPr>
        <w:spacing w:after="120" w:line="240" w:lineRule="auto"/>
        <w:ind w:left="567" w:hanging="567"/>
        <w:jc w:val="both"/>
        <w:rPr>
          <w:rFonts w:ascii="Arial" w:hAnsi="Arial" w:cs="Arial"/>
        </w:rPr>
      </w:pPr>
      <w:r>
        <w:rPr>
          <w:rFonts w:ascii="Arial" w:hAnsi="Arial" w:cs="Arial"/>
        </w:rPr>
        <w:t xml:space="preserve">Australia’s recent economic performance has </w:t>
      </w:r>
      <w:r w:rsidR="00FF5301" w:rsidRPr="001C23DF">
        <w:rPr>
          <w:rFonts w:ascii="Arial" w:hAnsi="Arial" w:cs="Arial"/>
        </w:rPr>
        <w:t xml:space="preserve">been </w:t>
      </w:r>
      <w:r w:rsidR="00C76840" w:rsidRPr="001C23DF">
        <w:rPr>
          <w:rFonts w:ascii="Arial" w:hAnsi="Arial" w:cs="Arial"/>
        </w:rPr>
        <w:t>largely</w:t>
      </w:r>
      <w:r w:rsidR="00003C4D" w:rsidRPr="001C23DF">
        <w:rPr>
          <w:rFonts w:ascii="Arial" w:hAnsi="Arial" w:cs="Arial"/>
        </w:rPr>
        <w:t xml:space="preserve"> positive</w:t>
      </w:r>
      <w:r w:rsidR="00B00EDA">
        <w:rPr>
          <w:rFonts w:ascii="Arial" w:hAnsi="Arial" w:cs="Arial"/>
        </w:rPr>
        <w:t>, although it expected that things will look significantly different in the coming months</w:t>
      </w:r>
      <w:r w:rsidR="00273707">
        <w:rPr>
          <w:rFonts w:ascii="Arial" w:hAnsi="Arial" w:cs="Arial"/>
        </w:rPr>
        <w:t xml:space="preserve"> following the outbreak of the novel coronavirus (COVID-19)</w:t>
      </w:r>
      <w:r w:rsidR="001862DE" w:rsidRPr="001C23DF">
        <w:rPr>
          <w:rFonts w:ascii="Arial" w:hAnsi="Arial" w:cs="Arial"/>
        </w:rPr>
        <w:t>.</w:t>
      </w:r>
      <w:r w:rsidR="008D5F84" w:rsidRPr="001C23DF">
        <w:rPr>
          <w:rFonts w:ascii="Arial" w:hAnsi="Arial" w:cs="Arial"/>
        </w:rPr>
        <w:t xml:space="preserve"> </w:t>
      </w:r>
      <w:r w:rsidR="00FE61DE" w:rsidRPr="001C23DF">
        <w:rPr>
          <w:rFonts w:ascii="Arial" w:hAnsi="Arial" w:cs="Arial"/>
        </w:rPr>
        <w:t>A</w:t>
      </w:r>
      <w:r w:rsidR="004B17CF" w:rsidRPr="001C23DF">
        <w:rPr>
          <w:rFonts w:ascii="Arial" w:hAnsi="Arial" w:cs="Arial"/>
        </w:rPr>
        <w:t xml:space="preserve">s </w:t>
      </w:r>
      <w:r w:rsidR="00B00EDA">
        <w:rPr>
          <w:rFonts w:ascii="Arial" w:hAnsi="Arial" w:cs="Arial"/>
        </w:rPr>
        <w:t>at</w:t>
      </w:r>
      <w:r w:rsidR="004B17CF" w:rsidRPr="001C23DF">
        <w:rPr>
          <w:rFonts w:ascii="Arial" w:hAnsi="Arial" w:cs="Arial"/>
        </w:rPr>
        <w:t xml:space="preserve"> </w:t>
      </w:r>
      <w:r w:rsidR="007924A1">
        <w:rPr>
          <w:rFonts w:ascii="Arial" w:hAnsi="Arial" w:cs="Arial"/>
        </w:rPr>
        <w:t>20</w:t>
      </w:r>
      <w:r>
        <w:rPr>
          <w:rFonts w:ascii="Arial" w:hAnsi="Arial" w:cs="Arial"/>
        </w:rPr>
        <w:t> </w:t>
      </w:r>
      <w:r w:rsidR="00006BC7" w:rsidRPr="001C23DF">
        <w:rPr>
          <w:rFonts w:ascii="Arial" w:hAnsi="Arial" w:cs="Arial"/>
        </w:rPr>
        <w:t>March</w:t>
      </w:r>
      <w:r w:rsidR="004B17CF" w:rsidRPr="001C23DF">
        <w:rPr>
          <w:rFonts w:ascii="Arial" w:hAnsi="Arial" w:cs="Arial"/>
        </w:rPr>
        <w:t xml:space="preserve"> 2020</w:t>
      </w:r>
      <w:r w:rsidR="008D5F84" w:rsidRPr="001C23DF">
        <w:rPr>
          <w:rFonts w:ascii="Arial" w:hAnsi="Arial" w:cs="Arial"/>
        </w:rPr>
        <w:t>:</w:t>
      </w:r>
    </w:p>
    <w:p w:rsidR="008D5F84" w:rsidRPr="00462254" w:rsidRDefault="008D5F84" w:rsidP="00DF0B2D">
      <w:pPr>
        <w:spacing w:line="240" w:lineRule="auto"/>
        <w:ind w:left="924" w:hanging="357"/>
        <w:jc w:val="both"/>
      </w:pPr>
      <w:r>
        <w:sym w:font="Symbol" w:char="F0B7"/>
      </w:r>
      <w:r w:rsidR="001862DE">
        <w:tab/>
      </w:r>
      <w:r w:rsidR="00D025F2" w:rsidRPr="00462254">
        <w:t>G</w:t>
      </w:r>
      <w:r w:rsidRPr="00462254">
        <w:t xml:space="preserve">ross </w:t>
      </w:r>
      <w:r w:rsidR="003A6B98" w:rsidRPr="00462254">
        <w:t>D</w:t>
      </w:r>
      <w:r w:rsidRPr="00462254">
        <w:t xml:space="preserve">omestic </w:t>
      </w:r>
      <w:r w:rsidR="003A6B98" w:rsidRPr="00462254">
        <w:t>P</w:t>
      </w:r>
      <w:r w:rsidRPr="00462254">
        <w:t xml:space="preserve">roduct (GDP) </w:t>
      </w:r>
      <w:r w:rsidR="001862DE" w:rsidRPr="00462254">
        <w:t xml:space="preserve">grew by </w:t>
      </w:r>
      <w:r w:rsidR="00462254" w:rsidRPr="00462254">
        <w:t>2.2</w:t>
      </w:r>
      <w:r w:rsidR="001862DE" w:rsidRPr="00462254">
        <w:t xml:space="preserve"> per cent in the year to the </w:t>
      </w:r>
      <w:r w:rsidR="00462254" w:rsidRPr="00462254">
        <w:t>December</w:t>
      </w:r>
      <w:r w:rsidR="001862DE" w:rsidRPr="00462254">
        <w:t xml:space="preserve"> quarter 2019</w:t>
      </w:r>
      <w:r w:rsidR="003A6B98" w:rsidRPr="00462254">
        <w:t>.</w:t>
      </w:r>
      <w:r w:rsidR="006F6882" w:rsidRPr="00462254">
        <w:rPr>
          <w:rStyle w:val="FootnoteReference"/>
        </w:rPr>
        <w:footnoteReference w:id="3"/>
      </w:r>
      <w:r w:rsidRPr="00462254">
        <w:t xml:space="preserve"> </w:t>
      </w:r>
    </w:p>
    <w:p w:rsidR="008D5F84" w:rsidRPr="00462254" w:rsidRDefault="008D5F84" w:rsidP="00DF0B2D">
      <w:pPr>
        <w:spacing w:line="240" w:lineRule="auto"/>
        <w:ind w:left="924" w:hanging="357"/>
        <w:jc w:val="both"/>
      </w:pPr>
      <w:r w:rsidRPr="00462254">
        <w:sym w:font="Symbol" w:char="F0B7"/>
      </w:r>
      <w:r w:rsidR="001862DE" w:rsidRPr="00462254">
        <w:tab/>
      </w:r>
      <w:r w:rsidR="003A6B98" w:rsidRPr="00462254">
        <w:t>R</w:t>
      </w:r>
      <w:r w:rsidRPr="00462254">
        <w:t xml:space="preserve">eal </w:t>
      </w:r>
      <w:r w:rsidR="003A6B98" w:rsidRPr="00462254">
        <w:t>N</w:t>
      </w:r>
      <w:r w:rsidRPr="00462254">
        <w:t xml:space="preserve">et </w:t>
      </w:r>
      <w:r w:rsidR="003A6B98" w:rsidRPr="00462254">
        <w:t>N</w:t>
      </w:r>
      <w:r w:rsidRPr="00462254">
        <w:t xml:space="preserve">ational </w:t>
      </w:r>
      <w:r w:rsidR="003A6B98" w:rsidRPr="00462254">
        <w:t>D</w:t>
      </w:r>
      <w:r w:rsidRPr="00462254">
        <w:t xml:space="preserve">isposable </w:t>
      </w:r>
      <w:r w:rsidR="003A6B98" w:rsidRPr="00462254">
        <w:t>I</w:t>
      </w:r>
      <w:r w:rsidRPr="00462254">
        <w:t xml:space="preserve">ncome (RNNDI) increased by </w:t>
      </w:r>
      <w:r w:rsidR="00462254" w:rsidRPr="00462254">
        <w:t>2.7</w:t>
      </w:r>
      <w:r w:rsidRPr="00462254">
        <w:t xml:space="preserve"> per cent </w:t>
      </w:r>
      <w:r w:rsidR="001862DE" w:rsidRPr="00462254">
        <w:t>in</w:t>
      </w:r>
      <w:r w:rsidRPr="00462254">
        <w:t xml:space="preserve"> the year to the </w:t>
      </w:r>
      <w:r w:rsidR="00462254" w:rsidRPr="00462254">
        <w:t>December</w:t>
      </w:r>
      <w:r w:rsidRPr="00462254">
        <w:t xml:space="preserve"> quarter 201</w:t>
      </w:r>
      <w:r w:rsidR="001862DE" w:rsidRPr="00462254">
        <w:t>9</w:t>
      </w:r>
      <w:r w:rsidR="003A6B98" w:rsidRPr="00462254">
        <w:t>.</w:t>
      </w:r>
      <w:r w:rsidR="006F6882" w:rsidRPr="00462254">
        <w:rPr>
          <w:rStyle w:val="FootnoteReference"/>
        </w:rPr>
        <w:footnoteReference w:id="4"/>
      </w:r>
    </w:p>
    <w:p w:rsidR="008D5F84" w:rsidRPr="008F12AA" w:rsidRDefault="003A6B98" w:rsidP="00DF0B2D">
      <w:pPr>
        <w:pStyle w:val="ListParagraph"/>
        <w:numPr>
          <w:ilvl w:val="0"/>
          <w:numId w:val="30"/>
        </w:numPr>
        <w:spacing w:line="240" w:lineRule="auto"/>
        <w:ind w:left="924" w:hanging="357"/>
        <w:jc w:val="both"/>
      </w:pPr>
      <w:r w:rsidRPr="008F12AA">
        <w:t>T</w:t>
      </w:r>
      <w:r w:rsidR="008D5F84" w:rsidRPr="008F12AA">
        <w:t xml:space="preserve">he profit share of factor income </w:t>
      </w:r>
      <w:r w:rsidR="008F12AA">
        <w:t>was</w:t>
      </w:r>
      <w:r w:rsidR="00D025F2" w:rsidRPr="008F12AA">
        <w:t xml:space="preserve"> </w:t>
      </w:r>
      <w:r w:rsidR="008D5F84" w:rsidRPr="008F12AA">
        <w:t>2</w:t>
      </w:r>
      <w:r w:rsidR="008F12AA" w:rsidRPr="008F12AA">
        <w:t>8</w:t>
      </w:r>
      <w:r w:rsidR="008D5F84" w:rsidRPr="008F12AA">
        <w:t>.</w:t>
      </w:r>
      <w:r w:rsidR="008F12AA" w:rsidRPr="008F12AA">
        <w:t>9</w:t>
      </w:r>
      <w:r w:rsidR="00D025F2" w:rsidRPr="008F12AA">
        <w:t xml:space="preserve"> per cent in the </w:t>
      </w:r>
      <w:r w:rsidR="008F12AA" w:rsidRPr="008F12AA">
        <w:t>December</w:t>
      </w:r>
      <w:r w:rsidR="00D025F2" w:rsidRPr="008F12AA">
        <w:t> quarter 2019</w:t>
      </w:r>
      <w:r w:rsidRPr="008F12AA">
        <w:t>.</w:t>
      </w:r>
      <w:r w:rsidR="006F6882" w:rsidRPr="008F12AA">
        <w:rPr>
          <w:rStyle w:val="FootnoteReference"/>
        </w:rPr>
        <w:footnoteReference w:id="5"/>
      </w:r>
    </w:p>
    <w:p w:rsidR="008B3041" w:rsidRPr="006756B8" w:rsidRDefault="008D5F84" w:rsidP="00DF0B2D">
      <w:pPr>
        <w:spacing w:line="240" w:lineRule="auto"/>
        <w:ind w:left="924" w:hanging="357"/>
        <w:jc w:val="both"/>
      </w:pPr>
      <w:r w:rsidRPr="006756B8">
        <w:sym w:font="Symbol" w:char="F0B7"/>
      </w:r>
      <w:r w:rsidR="00D025F2" w:rsidRPr="006756B8">
        <w:tab/>
      </w:r>
      <w:r w:rsidR="004B17CF" w:rsidRPr="006756B8">
        <w:t>L</w:t>
      </w:r>
      <w:r w:rsidRPr="006756B8">
        <w:t xml:space="preserve">abour productivity </w:t>
      </w:r>
      <w:r w:rsidR="00462254" w:rsidRPr="006756B8">
        <w:t xml:space="preserve">increased </w:t>
      </w:r>
      <w:r w:rsidR="004B17CF" w:rsidRPr="006756B8">
        <w:t xml:space="preserve">by </w:t>
      </w:r>
      <w:r w:rsidR="00D025F2" w:rsidRPr="006756B8">
        <w:t>0.</w:t>
      </w:r>
      <w:r w:rsidR="00462254" w:rsidRPr="006756B8">
        <w:t>4</w:t>
      </w:r>
      <w:r w:rsidR="00D025F2" w:rsidRPr="006756B8">
        <w:t xml:space="preserve"> per cent in the </w:t>
      </w:r>
      <w:r w:rsidR="004B17CF" w:rsidRPr="006756B8">
        <w:t xml:space="preserve">year to the </w:t>
      </w:r>
      <w:r w:rsidR="00462254" w:rsidRPr="006756B8">
        <w:t>December</w:t>
      </w:r>
      <w:r w:rsidR="00FE61DE" w:rsidRPr="006756B8">
        <w:t> </w:t>
      </w:r>
      <w:r w:rsidR="008B3041" w:rsidRPr="006756B8">
        <w:t xml:space="preserve">quarter </w:t>
      </w:r>
      <w:r w:rsidR="00D025F2" w:rsidRPr="006756B8">
        <w:t>2019</w:t>
      </w:r>
      <w:r w:rsidR="003A6B98" w:rsidRPr="006756B8">
        <w:t>.</w:t>
      </w:r>
      <w:r w:rsidR="006F6882" w:rsidRPr="006756B8">
        <w:rPr>
          <w:rStyle w:val="FootnoteReference"/>
        </w:rPr>
        <w:footnoteReference w:id="6"/>
      </w:r>
    </w:p>
    <w:p w:rsidR="008D5F84" w:rsidRPr="00462254" w:rsidRDefault="00FE61DE" w:rsidP="00DF0B2D">
      <w:pPr>
        <w:pStyle w:val="ListParagraph"/>
        <w:numPr>
          <w:ilvl w:val="0"/>
          <w:numId w:val="31"/>
        </w:numPr>
        <w:spacing w:line="240" w:lineRule="auto"/>
        <w:ind w:left="924" w:hanging="357"/>
        <w:jc w:val="both"/>
      </w:pPr>
      <w:r w:rsidRPr="00462254">
        <w:t>R</w:t>
      </w:r>
      <w:r w:rsidR="008B3041" w:rsidRPr="00462254">
        <w:t xml:space="preserve">eal unit labour costs </w:t>
      </w:r>
      <w:r w:rsidR="00462254" w:rsidRPr="00462254">
        <w:t xml:space="preserve">increased </w:t>
      </w:r>
      <w:r w:rsidRPr="00462254">
        <w:t xml:space="preserve">by </w:t>
      </w:r>
      <w:r w:rsidR="008B3041" w:rsidRPr="00462254">
        <w:t>0.</w:t>
      </w:r>
      <w:r w:rsidR="00462254" w:rsidRPr="00462254">
        <w:t>9</w:t>
      </w:r>
      <w:r w:rsidR="008B3041" w:rsidRPr="00462254">
        <w:t xml:space="preserve"> per cent in the </w:t>
      </w:r>
      <w:r w:rsidRPr="00462254">
        <w:t xml:space="preserve">year to the </w:t>
      </w:r>
      <w:r w:rsidR="00462254" w:rsidRPr="00462254">
        <w:t>December</w:t>
      </w:r>
      <w:r w:rsidRPr="00462254">
        <w:t> </w:t>
      </w:r>
      <w:r w:rsidR="008B3041" w:rsidRPr="00462254">
        <w:t>quarter</w:t>
      </w:r>
      <w:r w:rsidRPr="00462254">
        <w:t> </w:t>
      </w:r>
      <w:r w:rsidR="008B3041" w:rsidRPr="00462254">
        <w:t>2019.</w:t>
      </w:r>
      <w:r w:rsidR="006F6882" w:rsidRPr="00462254">
        <w:rPr>
          <w:rStyle w:val="FootnoteReference"/>
        </w:rPr>
        <w:footnoteReference w:id="7"/>
      </w:r>
      <w:r w:rsidR="008B3041" w:rsidRPr="00462254">
        <w:t xml:space="preserve"> </w:t>
      </w:r>
      <w:r w:rsidR="008D5F84" w:rsidRPr="00462254">
        <w:t xml:space="preserve"> </w:t>
      </w:r>
    </w:p>
    <w:p w:rsidR="00D025F2" w:rsidRPr="00462254" w:rsidRDefault="008D5F84" w:rsidP="00DF0B2D">
      <w:pPr>
        <w:spacing w:line="240" w:lineRule="auto"/>
        <w:ind w:left="924" w:hanging="357"/>
        <w:jc w:val="both"/>
      </w:pPr>
      <w:r w:rsidRPr="008F12AA">
        <w:sym w:font="Symbol" w:char="F0B7"/>
      </w:r>
      <w:r w:rsidR="00D025F2" w:rsidRPr="008F12AA">
        <w:tab/>
      </w:r>
      <w:r w:rsidR="004B17CF" w:rsidRPr="008F12AA">
        <w:t>T</w:t>
      </w:r>
      <w:r w:rsidRPr="008F12AA">
        <w:t xml:space="preserve">he unemployment rate was </w:t>
      </w:r>
      <w:r w:rsidR="00D025F2" w:rsidRPr="008F12AA">
        <w:t>5.</w:t>
      </w:r>
      <w:r w:rsidR="002B6FE9">
        <w:t>1</w:t>
      </w:r>
      <w:r w:rsidRPr="008F12AA">
        <w:t xml:space="preserve"> per</w:t>
      </w:r>
      <w:r w:rsidR="00D025F2" w:rsidRPr="008F12AA">
        <w:t xml:space="preserve"> </w:t>
      </w:r>
      <w:r w:rsidRPr="008F12AA">
        <w:t>cent</w:t>
      </w:r>
      <w:r w:rsidR="003A6B98" w:rsidRPr="008F12AA">
        <w:t xml:space="preserve"> in </w:t>
      </w:r>
      <w:r w:rsidR="002B6FE9">
        <w:t>February</w:t>
      </w:r>
      <w:r w:rsidR="00006BC7" w:rsidRPr="008F12AA">
        <w:t xml:space="preserve"> 2020</w:t>
      </w:r>
      <w:r w:rsidR="003A6B98" w:rsidRPr="008F12AA">
        <w:t>.</w:t>
      </w:r>
      <w:r w:rsidR="006F6882" w:rsidRPr="008F12AA">
        <w:rPr>
          <w:rStyle w:val="FootnoteReference"/>
        </w:rPr>
        <w:footnoteReference w:id="8"/>
      </w:r>
    </w:p>
    <w:p w:rsidR="00D025F2" w:rsidRPr="00462254" w:rsidRDefault="00D025F2" w:rsidP="00DF0B2D">
      <w:pPr>
        <w:pStyle w:val="ListParagraph"/>
        <w:numPr>
          <w:ilvl w:val="0"/>
          <w:numId w:val="29"/>
        </w:numPr>
        <w:spacing w:line="240" w:lineRule="auto"/>
        <w:ind w:left="924" w:hanging="357"/>
        <w:jc w:val="both"/>
      </w:pPr>
      <w:r w:rsidRPr="00462254">
        <w:t>Employment grew by 2.</w:t>
      </w:r>
      <w:r w:rsidR="002B6FE9">
        <w:t>2</w:t>
      </w:r>
      <w:r w:rsidRPr="00462254">
        <w:t xml:space="preserve"> per cent in the year to </w:t>
      </w:r>
      <w:r w:rsidR="002B6FE9">
        <w:t>February</w:t>
      </w:r>
      <w:r w:rsidR="00006BC7" w:rsidRPr="00462254">
        <w:t xml:space="preserve"> </w:t>
      </w:r>
      <w:r w:rsidRPr="00462254">
        <w:t>20</w:t>
      </w:r>
      <w:r w:rsidR="00006BC7" w:rsidRPr="00462254">
        <w:t>20</w:t>
      </w:r>
      <w:r w:rsidR="005127E4" w:rsidRPr="00462254">
        <w:t xml:space="preserve"> (in annual average terms)</w:t>
      </w:r>
      <w:r w:rsidR="003A6B98" w:rsidRPr="00462254">
        <w:t>.</w:t>
      </w:r>
      <w:r w:rsidR="006F6882" w:rsidRPr="00462254">
        <w:rPr>
          <w:rStyle w:val="FootnoteReference"/>
        </w:rPr>
        <w:footnoteReference w:id="9"/>
      </w:r>
    </w:p>
    <w:p w:rsidR="008D5F84" w:rsidRPr="00462254" w:rsidRDefault="008D5F84" w:rsidP="00DF0B2D">
      <w:pPr>
        <w:spacing w:line="240" w:lineRule="auto"/>
        <w:ind w:left="924" w:hanging="357"/>
        <w:jc w:val="both"/>
      </w:pPr>
      <w:r w:rsidRPr="00462254">
        <w:sym w:font="Symbol" w:char="F0B7"/>
      </w:r>
      <w:r w:rsidR="00D025F2" w:rsidRPr="00462254">
        <w:tab/>
      </w:r>
      <w:r w:rsidR="005127E4" w:rsidRPr="00462254">
        <w:t>T</w:t>
      </w:r>
      <w:r w:rsidRPr="00462254">
        <w:t xml:space="preserve">he </w:t>
      </w:r>
      <w:r w:rsidR="00D025F2" w:rsidRPr="00462254">
        <w:t>participation rate was 66.</w:t>
      </w:r>
      <w:r w:rsidR="002B6FE9">
        <w:t>0</w:t>
      </w:r>
      <w:r w:rsidR="00D025F2" w:rsidRPr="00462254">
        <w:t xml:space="preserve"> per cent in </w:t>
      </w:r>
      <w:r w:rsidR="002B6FE9">
        <w:t>February</w:t>
      </w:r>
      <w:r w:rsidR="00006BC7" w:rsidRPr="00462254">
        <w:t xml:space="preserve"> </w:t>
      </w:r>
      <w:r w:rsidR="00D025F2" w:rsidRPr="00462254">
        <w:t>20</w:t>
      </w:r>
      <w:r w:rsidR="00006BC7" w:rsidRPr="00462254">
        <w:t>20</w:t>
      </w:r>
      <w:r w:rsidR="003A6B98" w:rsidRPr="00462254">
        <w:t>.</w:t>
      </w:r>
      <w:r w:rsidR="006F6882" w:rsidRPr="00462254">
        <w:rPr>
          <w:rStyle w:val="FootnoteReference"/>
        </w:rPr>
        <w:footnoteReference w:id="10"/>
      </w:r>
    </w:p>
    <w:p w:rsidR="008D5F84" w:rsidRPr="00462254" w:rsidRDefault="008D5F84" w:rsidP="00DF0B2D">
      <w:pPr>
        <w:spacing w:line="240" w:lineRule="auto"/>
        <w:ind w:left="924" w:hanging="357"/>
        <w:jc w:val="both"/>
      </w:pPr>
      <w:r w:rsidRPr="00462254">
        <w:sym w:font="Symbol" w:char="F0B7"/>
      </w:r>
      <w:r w:rsidRPr="00462254">
        <w:t xml:space="preserve"> </w:t>
      </w:r>
      <w:r w:rsidR="003A6B98" w:rsidRPr="00462254">
        <w:tab/>
        <w:t xml:space="preserve">Annual headline </w:t>
      </w:r>
      <w:r w:rsidRPr="00462254">
        <w:t xml:space="preserve">inflation </w:t>
      </w:r>
      <w:r w:rsidR="003A6B98" w:rsidRPr="00462254">
        <w:t>was 1.8 per cent in the December quarter 2019.</w:t>
      </w:r>
      <w:r w:rsidR="006F6882" w:rsidRPr="00462254">
        <w:rPr>
          <w:rStyle w:val="FootnoteReference"/>
        </w:rPr>
        <w:footnoteReference w:id="11"/>
      </w:r>
      <w:r w:rsidRPr="00462254">
        <w:t xml:space="preserve"> </w:t>
      </w:r>
    </w:p>
    <w:p w:rsidR="008D5F84" w:rsidRPr="00462254" w:rsidRDefault="008D5F84" w:rsidP="00DF0B2D">
      <w:pPr>
        <w:spacing w:line="240" w:lineRule="auto"/>
        <w:ind w:left="924" w:hanging="357"/>
        <w:jc w:val="both"/>
        <w:rPr>
          <w:rFonts w:ascii="Arial" w:eastAsiaTheme="minorHAnsi" w:hAnsi="Arial" w:cs="Arial"/>
          <w:color w:val="000000" w:themeColor="text1"/>
        </w:rPr>
      </w:pPr>
      <w:r w:rsidRPr="00462254">
        <w:sym w:font="Symbol" w:char="F0B7"/>
      </w:r>
      <w:r w:rsidRPr="00462254">
        <w:t xml:space="preserve"> </w:t>
      </w:r>
      <w:r w:rsidR="003A6B98" w:rsidRPr="00462254">
        <w:tab/>
        <w:t xml:space="preserve">The </w:t>
      </w:r>
      <w:r w:rsidRPr="00462254">
        <w:t>Wage Price Index (WPI)</w:t>
      </w:r>
      <w:r w:rsidR="003A6B98" w:rsidRPr="00462254">
        <w:t xml:space="preserve"> increased by 2.2 per cent in the year to the </w:t>
      </w:r>
      <w:r w:rsidR="006756B8">
        <w:t>December</w:t>
      </w:r>
      <w:r w:rsidR="003A6B98" w:rsidRPr="00462254">
        <w:t xml:space="preserve"> quarter 2019.</w:t>
      </w:r>
      <w:r w:rsidR="006F6882" w:rsidRPr="00462254">
        <w:rPr>
          <w:rStyle w:val="FootnoteReference"/>
        </w:rPr>
        <w:footnoteReference w:id="12"/>
      </w:r>
      <w:r w:rsidR="003A6B98" w:rsidRPr="00462254">
        <w:t xml:space="preserve"> </w:t>
      </w:r>
    </w:p>
    <w:p w:rsidR="008B0C4E" w:rsidRPr="00FB71DF" w:rsidRDefault="008B0C4E" w:rsidP="008B0C4E">
      <w:pPr>
        <w:keepNext/>
        <w:keepLines/>
        <w:spacing w:before="200" w:after="200"/>
        <w:outlineLvl w:val="0"/>
        <w:rPr>
          <w:rFonts w:asciiTheme="majorHAnsi" w:eastAsiaTheme="majorEastAsia" w:hAnsiTheme="majorHAnsi" w:cstheme="majorBidi"/>
          <w:b/>
          <w:bCs/>
          <w:color w:val="0070C0"/>
          <w:sz w:val="32"/>
          <w:szCs w:val="28"/>
        </w:rPr>
      </w:pPr>
      <w:r w:rsidRPr="00FB71DF">
        <w:rPr>
          <w:rFonts w:asciiTheme="majorHAnsi" w:eastAsiaTheme="majorEastAsia" w:hAnsiTheme="majorHAnsi" w:cstheme="majorBidi"/>
          <w:b/>
          <w:bCs/>
          <w:color w:val="0070C0"/>
          <w:sz w:val="32"/>
          <w:szCs w:val="28"/>
          <w:lang w:val="en-US"/>
        </w:rPr>
        <w:lastRenderedPageBreak/>
        <w:t>Western Australian economy and lab</w:t>
      </w:r>
      <w:r w:rsidRPr="00FB71DF">
        <w:rPr>
          <w:rFonts w:asciiTheme="majorHAnsi" w:eastAsiaTheme="majorEastAsia" w:hAnsiTheme="majorHAnsi" w:cstheme="majorBidi"/>
          <w:b/>
          <w:bCs/>
          <w:color w:val="0070C0"/>
          <w:sz w:val="32"/>
          <w:szCs w:val="28"/>
        </w:rPr>
        <w:t>our market</w:t>
      </w:r>
    </w:p>
    <w:p w:rsidR="008B0C4E" w:rsidRPr="00307B34" w:rsidRDefault="008B0C4E" w:rsidP="008B0C4E">
      <w:pPr>
        <w:numPr>
          <w:ilvl w:val="0"/>
          <w:numId w:val="25"/>
        </w:numPr>
        <w:spacing w:after="240" w:line="240" w:lineRule="auto"/>
        <w:ind w:left="567" w:hanging="567"/>
        <w:jc w:val="both"/>
        <w:rPr>
          <w:rFonts w:ascii="Arial" w:hAnsi="Arial" w:cs="Arial"/>
          <w:lang w:val="en-US"/>
        </w:rPr>
      </w:pPr>
      <w:r w:rsidRPr="00307B34">
        <w:rPr>
          <w:rFonts w:ascii="Arial" w:hAnsi="Arial" w:cs="Arial"/>
          <w:lang w:val="en-US"/>
        </w:rPr>
        <w:t xml:space="preserve">While the Act requires the Panel </w:t>
      </w:r>
      <w:r w:rsidR="00287975">
        <w:rPr>
          <w:rFonts w:ascii="Arial" w:hAnsi="Arial" w:cs="Arial"/>
          <w:lang w:val="en-US"/>
        </w:rPr>
        <w:t xml:space="preserve">to </w:t>
      </w:r>
      <w:r w:rsidRPr="00307B34">
        <w:rPr>
          <w:rFonts w:ascii="Arial" w:hAnsi="Arial" w:cs="Arial"/>
          <w:lang w:val="en-US"/>
        </w:rPr>
        <w:t xml:space="preserve">consider the state of the national economy in its AWR deliberations, the national economy </w:t>
      </w:r>
      <w:r w:rsidR="00307B34" w:rsidRPr="00307B34">
        <w:rPr>
          <w:rFonts w:ascii="Arial" w:hAnsi="Arial" w:cs="Arial"/>
          <w:lang w:val="en-US"/>
        </w:rPr>
        <w:t xml:space="preserve">is </w:t>
      </w:r>
      <w:r w:rsidRPr="00307B34">
        <w:rPr>
          <w:rFonts w:ascii="Arial" w:hAnsi="Arial" w:cs="Arial"/>
          <w:lang w:val="en-US"/>
        </w:rPr>
        <w:t>comprise</w:t>
      </w:r>
      <w:r w:rsidR="00307B34" w:rsidRPr="00307B34">
        <w:rPr>
          <w:rFonts w:ascii="Arial" w:hAnsi="Arial" w:cs="Arial"/>
          <w:lang w:val="en-US"/>
        </w:rPr>
        <w:t>d of</w:t>
      </w:r>
      <w:r w:rsidRPr="00307B34">
        <w:rPr>
          <w:rFonts w:ascii="Arial" w:hAnsi="Arial" w:cs="Arial"/>
          <w:lang w:val="en-US"/>
        </w:rPr>
        <w:t xml:space="preserve"> many </w:t>
      </w:r>
      <w:r w:rsidR="00307B34" w:rsidRPr="00307B34">
        <w:rPr>
          <w:rFonts w:ascii="Arial" w:hAnsi="Arial" w:cs="Arial"/>
          <w:lang w:val="en-US"/>
        </w:rPr>
        <w:t xml:space="preserve">diverse regions, </w:t>
      </w:r>
      <w:r w:rsidRPr="00307B34">
        <w:rPr>
          <w:rFonts w:ascii="Arial" w:hAnsi="Arial" w:cs="Arial"/>
          <w:lang w:val="en-US"/>
        </w:rPr>
        <w:t xml:space="preserve">and it is appropriate that consideration be given to prevailing conditions in individual </w:t>
      </w:r>
      <w:r w:rsidR="00EB4BE2">
        <w:rPr>
          <w:rFonts w:ascii="Arial" w:hAnsi="Arial" w:cs="Arial"/>
          <w:lang w:val="en-US"/>
        </w:rPr>
        <w:t>s</w:t>
      </w:r>
      <w:r w:rsidRPr="00307B34">
        <w:rPr>
          <w:rFonts w:ascii="Arial" w:hAnsi="Arial" w:cs="Arial"/>
          <w:lang w:val="en-US"/>
        </w:rPr>
        <w:t xml:space="preserve">tates and </w:t>
      </w:r>
      <w:r w:rsidR="00EB4BE2">
        <w:rPr>
          <w:rFonts w:ascii="Arial" w:hAnsi="Arial" w:cs="Arial"/>
          <w:lang w:val="en-US"/>
        </w:rPr>
        <w:t>t</w:t>
      </w:r>
      <w:r w:rsidRPr="00307B34">
        <w:rPr>
          <w:rFonts w:ascii="Arial" w:hAnsi="Arial" w:cs="Arial"/>
          <w:lang w:val="en-US"/>
        </w:rPr>
        <w:t>erritories.</w:t>
      </w:r>
    </w:p>
    <w:p w:rsidR="001C23DF" w:rsidRPr="001C23DF" w:rsidRDefault="00FF5301" w:rsidP="001C23DF">
      <w:pPr>
        <w:widowControl w:val="0"/>
        <w:numPr>
          <w:ilvl w:val="0"/>
          <w:numId w:val="25"/>
        </w:numPr>
        <w:spacing w:after="240" w:line="240" w:lineRule="auto"/>
        <w:ind w:left="567" w:hanging="567"/>
        <w:jc w:val="both"/>
        <w:rPr>
          <w:rFonts w:ascii="Arial" w:hAnsi="Arial" w:cs="Arial"/>
          <w:lang w:val="en-US"/>
        </w:rPr>
      </w:pPr>
      <w:r w:rsidRPr="001C23DF">
        <w:rPr>
          <w:rFonts w:ascii="Arial" w:hAnsi="Arial" w:cs="Arial"/>
          <w:bCs/>
        </w:rPr>
        <w:t>Until recently, e</w:t>
      </w:r>
      <w:r w:rsidR="008B0C4E" w:rsidRPr="001C23DF">
        <w:rPr>
          <w:rFonts w:ascii="Arial" w:hAnsi="Arial" w:cs="Arial"/>
          <w:bCs/>
        </w:rPr>
        <w:t xml:space="preserve">conomic conditions in Western Australia </w:t>
      </w:r>
      <w:r w:rsidRPr="001C23DF">
        <w:rPr>
          <w:rFonts w:ascii="Arial" w:hAnsi="Arial" w:cs="Arial"/>
          <w:bCs/>
        </w:rPr>
        <w:t xml:space="preserve">had been </w:t>
      </w:r>
      <w:r w:rsidR="008B0C4E" w:rsidRPr="001C23DF">
        <w:rPr>
          <w:rFonts w:ascii="Arial" w:hAnsi="Arial" w:cs="Arial"/>
          <w:bCs/>
        </w:rPr>
        <w:t>gradually improv</w:t>
      </w:r>
      <w:r w:rsidRPr="001C23DF">
        <w:rPr>
          <w:rFonts w:ascii="Arial" w:hAnsi="Arial" w:cs="Arial"/>
          <w:bCs/>
        </w:rPr>
        <w:t>ing</w:t>
      </w:r>
      <w:r w:rsidR="008B0C4E" w:rsidRPr="001C23DF">
        <w:rPr>
          <w:rFonts w:ascii="Arial" w:hAnsi="Arial" w:cs="Arial"/>
          <w:bCs/>
        </w:rPr>
        <w:t xml:space="preserve">, </w:t>
      </w:r>
      <w:r w:rsidR="00994726" w:rsidRPr="001C23DF">
        <w:t xml:space="preserve">underpinned by </w:t>
      </w:r>
      <w:r w:rsidR="000242F3" w:rsidRPr="001C23DF">
        <w:t xml:space="preserve">a lift in the </w:t>
      </w:r>
      <w:r w:rsidR="00E627A8" w:rsidRPr="001C23DF">
        <w:t xml:space="preserve">domestic economy. </w:t>
      </w:r>
      <w:r w:rsidR="001C23DF" w:rsidRPr="001C23DF">
        <w:t xml:space="preserve">However, </w:t>
      </w:r>
      <w:r w:rsidR="00273707">
        <w:t xml:space="preserve">the </w:t>
      </w:r>
      <w:r w:rsidR="001C23DF" w:rsidRPr="001C23DF">
        <w:t xml:space="preserve">recent </w:t>
      </w:r>
      <w:r w:rsidR="00273707">
        <w:t>o</w:t>
      </w:r>
      <w:r w:rsidR="001C23DF" w:rsidRPr="001C23DF">
        <w:t>utbreak of COVID-19</w:t>
      </w:r>
      <w:r w:rsidR="00273707">
        <w:t xml:space="preserve"> has</w:t>
      </w:r>
      <w:r w:rsidR="001C23DF" w:rsidRPr="001C23DF">
        <w:t xml:space="preserve"> created significant uncertainty </w:t>
      </w:r>
      <w:r w:rsidR="001C23DF" w:rsidRPr="001C23DF">
        <w:rPr>
          <w:rFonts w:cstheme="minorHAnsi"/>
          <w:color w:val="000000"/>
          <w:shd w:val="clear" w:color="auto" w:fill="FFFFFF"/>
        </w:rPr>
        <w:t xml:space="preserve">about </w:t>
      </w:r>
      <w:r w:rsidR="00273707">
        <w:rPr>
          <w:rFonts w:cstheme="minorHAnsi"/>
          <w:color w:val="000000"/>
          <w:shd w:val="clear" w:color="auto" w:fill="FFFFFF"/>
        </w:rPr>
        <w:t xml:space="preserve">the State’s </w:t>
      </w:r>
      <w:r w:rsidR="001C23DF" w:rsidRPr="001C23DF">
        <w:rPr>
          <w:rFonts w:cstheme="minorHAnsi"/>
          <w:color w:val="000000"/>
          <w:shd w:val="clear" w:color="auto" w:fill="FFFFFF"/>
        </w:rPr>
        <w:t xml:space="preserve">short-term economic prospects. </w:t>
      </w:r>
    </w:p>
    <w:p w:rsidR="007924A1" w:rsidRPr="007924A1" w:rsidRDefault="007924A1" w:rsidP="00490B43">
      <w:pPr>
        <w:numPr>
          <w:ilvl w:val="0"/>
          <w:numId w:val="25"/>
        </w:numPr>
        <w:spacing w:after="480" w:line="240" w:lineRule="auto"/>
        <w:ind w:left="567" w:hanging="567"/>
        <w:jc w:val="both"/>
        <w:rPr>
          <w:rFonts w:ascii="Arial" w:eastAsiaTheme="minorHAnsi" w:hAnsi="Arial" w:cs="Arial"/>
        </w:rPr>
      </w:pPr>
      <w:r w:rsidRPr="007924A1">
        <w:rPr>
          <w:rFonts w:ascii="Arial" w:eastAsiaTheme="minorHAnsi" w:hAnsi="Arial" w:cs="Arial"/>
          <w:b/>
          <w:bCs/>
        </w:rPr>
        <w:t>Attachment A</w:t>
      </w:r>
      <w:r w:rsidRPr="007924A1">
        <w:rPr>
          <w:rFonts w:ascii="Arial" w:eastAsiaTheme="minorHAnsi" w:hAnsi="Arial" w:cs="Arial"/>
        </w:rPr>
        <w:t xml:space="preserve"> provides an overview of the state of the Western Australian economy, as assessed at the time of the 2019-20 Mid-year Review.  The outbreak of COVID-19 and other developments has heightened the uncertainty about the outlook.  As such, </w:t>
      </w:r>
      <w:r w:rsidR="00854C85">
        <w:rPr>
          <w:rFonts w:ascii="Arial" w:eastAsiaTheme="minorHAnsi" w:hAnsi="Arial" w:cs="Arial"/>
        </w:rPr>
        <w:t xml:space="preserve">the </w:t>
      </w:r>
      <w:r w:rsidRPr="007924A1">
        <w:rPr>
          <w:rFonts w:ascii="Arial" w:eastAsiaTheme="minorHAnsi" w:hAnsi="Arial" w:cs="Arial"/>
        </w:rPr>
        <w:t>outlook in the 2019 20 Mid-year Review is dated given these developments. The COVID-19 and other developments are being monitored closely and will inform the preparation of the economic outlook contained in the forthcoming 2020-21 Budget.</w:t>
      </w:r>
    </w:p>
    <w:p w:rsidR="008B0C4E" w:rsidRPr="00FB71DF" w:rsidRDefault="008B0C4E" w:rsidP="00490B43">
      <w:pPr>
        <w:keepNext/>
        <w:keepLines/>
        <w:spacing w:after="240" w:line="240" w:lineRule="auto"/>
        <w:outlineLvl w:val="0"/>
        <w:rPr>
          <w:rFonts w:asciiTheme="majorHAnsi" w:eastAsiaTheme="majorEastAsia" w:hAnsiTheme="majorHAnsi" w:cstheme="majorBidi"/>
          <w:b/>
          <w:bCs/>
          <w:color w:val="0070C0"/>
          <w:sz w:val="32"/>
          <w:szCs w:val="28"/>
          <w:lang w:val="en-US"/>
        </w:rPr>
      </w:pPr>
      <w:r w:rsidRPr="00FB71DF">
        <w:rPr>
          <w:rFonts w:asciiTheme="majorHAnsi" w:eastAsiaTheme="majorEastAsia" w:hAnsiTheme="majorHAnsi" w:cstheme="majorBidi"/>
          <w:b/>
          <w:bCs/>
          <w:color w:val="0070C0"/>
          <w:sz w:val="32"/>
          <w:szCs w:val="28"/>
          <w:lang w:val="en-US"/>
        </w:rPr>
        <w:t>Who is impacted by the Annual Wage Review?</w:t>
      </w:r>
    </w:p>
    <w:p w:rsidR="008B0C4E" w:rsidRPr="008B0C4E" w:rsidRDefault="008B0C4E" w:rsidP="00E26BBE">
      <w:pPr>
        <w:pBdr>
          <w:bottom w:val="single" w:sz="4" w:space="1" w:color="auto"/>
        </w:pBdr>
        <w:tabs>
          <w:tab w:val="num" w:pos="600"/>
        </w:tabs>
        <w:spacing w:after="240" w:line="240" w:lineRule="auto"/>
        <w:jc w:val="both"/>
        <w:rPr>
          <w:rFonts w:ascii="Arial" w:hAnsi="Arial" w:cs="Arial"/>
          <w:b/>
          <w:color w:val="C00000"/>
          <w:lang w:val="en-US"/>
        </w:rPr>
      </w:pPr>
      <w:r w:rsidRPr="008B0C4E">
        <w:rPr>
          <w:rFonts w:ascii="Arial" w:hAnsi="Arial" w:cs="Arial"/>
          <w:b/>
          <w:color w:val="C00000"/>
          <w:lang w:val="en-US"/>
        </w:rPr>
        <w:t xml:space="preserve">Employees covered by awards </w:t>
      </w:r>
    </w:p>
    <w:p w:rsidR="004C5DAB" w:rsidRDefault="008B0C4E" w:rsidP="000F5A38">
      <w:pPr>
        <w:numPr>
          <w:ilvl w:val="0"/>
          <w:numId w:val="25"/>
        </w:numPr>
        <w:spacing w:after="240" w:line="240" w:lineRule="auto"/>
        <w:ind w:left="567" w:hanging="567"/>
        <w:jc w:val="both"/>
        <w:rPr>
          <w:rFonts w:ascii="Arial" w:hAnsi="Arial" w:cs="Arial"/>
          <w:lang w:val="en-US"/>
        </w:rPr>
      </w:pPr>
      <w:r w:rsidRPr="00DF0B2D">
        <w:rPr>
          <w:rFonts w:ascii="Arial" w:eastAsiaTheme="minorHAnsi" w:hAnsi="Arial" w:cs="Arial"/>
          <w:color w:val="000000" w:themeColor="text1"/>
        </w:rPr>
        <w:t xml:space="preserve">Available data indicates that award-reliance in </w:t>
      </w:r>
      <w:r w:rsidRPr="00DF0B2D">
        <w:rPr>
          <w:rFonts w:ascii="Arial" w:hAnsi="Arial" w:cs="Arial"/>
          <w:lang w:val="en-US"/>
        </w:rPr>
        <w:t>Australia ha</w:t>
      </w:r>
      <w:r w:rsidR="004436E1" w:rsidRPr="00DF0B2D">
        <w:rPr>
          <w:rFonts w:ascii="Arial" w:hAnsi="Arial" w:cs="Arial"/>
          <w:lang w:val="en-US"/>
        </w:rPr>
        <w:t xml:space="preserve">s </w:t>
      </w:r>
      <w:r w:rsidRPr="00DF0B2D">
        <w:rPr>
          <w:rFonts w:ascii="Arial" w:hAnsi="Arial" w:cs="Arial"/>
          <w:lang w:val="en-US"/>
        </w:rPr>
        <w:t>increas</w:t>
      </w:r>
      <w:r w:rsidR="004436E1" w:rsidRPr="00DF0B2D">
        <w:rPr>
          <w:rFonts w:ascii="Arial" w:hAnsi="Arial" w:cs="Arial"/>
          <w:lang w:val="en-US"/>
        </w:rPr>
        <w:t xml:space="preserve">ed in recent years, </w:t>
      </w:r>
      <w:r w:rsidRPr="00DF0B2D">
        <w:rPr>
          <w:rFonts w:ascii="Arial" w:hAnsi="Arial" w:cs="Arial"/>
          <w:lang w:val="en-US"/>
        </w:rPr>
        <w:t xml:space="preserve">reversing a long-term </w:t>
      </w:r>
      <w:r w:rsidR="004C5DAB">
        <w:rPr>
          <w:rFonts w:ascii="Arial" w:hAnsi="Arial" w:cs="Arial"/>
          <w:lang w:val="en-US"/>
        </w:rPr>
        <w:t>movement</w:t>
      </w:r>
      <w:r w:rsidRPr="00DF0B2D">
        <w:rPr>
          <w:rFonts w:ascii="Arial" w:hAnsi="Arial" w:cs="Arial"/>
          <w:lang w:val="en-US"/>
        </w:rPr>
        <w:t xml:space="preserve"> away from awards being the central tenet of the wage fixing system. </w:t>
      </w:r>
      <w:r w:rsidR="004C5DAB">
        <w:rPr>
          <w:rFonts w:ascii="Arial" w:hAnsi="Arial" w:cs="Arial"/>
          <w:lang w:val="en-US"/>
        </w:rPr>
        <w:t xml:space="preserve">However, the trend towards greater award reliance appears to have stalled in the two years to May 2018. </w:t>
      </w:r>
    </w:p>
    <w:p w:rsidR="008B0C4E" w:rsidRPr="00DF0B2D" w:rsidRDefault="008B0C4E" w:rsidP="000F5A38">
      <w:pPr>
        <w:numPr>
          <w:ilvl w:val="0"/>
          <w:numId w:val="25"/>
        </w:numPr>
        <w:spacing w:after="240" w:line="240" w:lineRule="auto"/>
        <w:ind w:left="567" w:hanging="567"/>
        <w:jc w:val="both"/>
        <w:rPr>
          <w:rFonts w:ascii="Arial" w:hAnsi="Arial" w:cs="Arial"/>
          <w:lang w:val="en-US"/>
        </w:rPr>
      </w:pPr>
      <w:r w:rsidRPr="00DF0B2D">
        <w:rPr>
          <w:rFonts w:ascii="Arial" w:hAnsi="Arial" w:cs="Arial"/>
          <w:lang w:val="en-US"/>
        </w:rPr>
        <w:t>In Western Australia</w:t>
      </w:r>
      <w:r w:rsidR="004436E1" w:rsidRPr="00DF0B2D">
        <w:rPr>
          <w:rFonts w:ascii="Arial" w:hAnsi="Arial" w:cs="Arial"/>
          <w:lang w:val="en-US"/>
        </w:rPr>
        <w:t>,</w:t>
      </w:r>
      <w:r w:rsidRPr="00DF0B2D">
        <w:rPr>
          <w:rFonts w:ascii="Arial" w:hAnsi="Arial" w:cs="Arial"/>
          <w:lang w:val="en-US"/>
        </w:rPr>
        <w:t xml:space="preserve"> </w:t>
      </w:r>
      <w:r w:rsidRPr="00DF0B2D">
        <w:rPr>
          <w:rFonts w:ascii="Arial" w:eastAsiaTheme="minorHAnsi" w:hAnsi="Arial" w:cs="Arial"/>
        </w:rPr>
        <w:t>award reliance fell from 16.4 per cent of all non-managerial employees in 2016</w:t>
      </w:r>
      <w:r w:rsidR="00FB7500" w:rsidRPr="00DF0B2D">
        <w:rPr>
          <w:rFonts w:ascii="Arial" w:eastAsiaTheme="minorHAnsi" w:hAnsi="Arial" w:cs="Arial"/>
        </w:rPr>
        <w:t>,</w:t>
      </w:r>
      <w:r w:rsidRPr="00DF0B2D">
        <w:rPr>
          <w:rFonts w:ascii="Arial" w:eastAsiaTheme="minorHAnsi" w:hAnsi="Arial" w:cs="Arial"/>
        </w:rPr>
        <w:t xml:space="preserve"> to 15.0 per cent in 2018.</w:t>
      </w:r>
      <w:r w:rsidRPr="008B0C4E">
        <w:rPr>
          <w:rFonts w:ascii="Arial" w:eastAsiaTheme="minorHAnsi" w:hAnsi="Arial" w:cs="Arial"/>
          <w:vertAlign w:val="superscript"/>
        </w:rPr>
        <w:footnoteReference w:id="13"/>
      </w:r>
      <w:r w:rsidRPr="00DF0B2D">
        <w:rPr>
          <w:rFonts w:ascii="Arial" w:eastAsiaTheme="minorHAnsi" w:hAnsi="Arial" w:cs="Arial"/>
        </w:rPr>
        <w:t xml:space="preserve"> Given the composition of the </w:t>
      </w:r>
      <w:r w:rsidR="004436E1" w:rsidRPr="00DF0B2D">
        <w:rPr>
          <w:rFonts w:ascii="Arial" w:eastAsiaTheme="minorHAnsi" w:hAnsi="Arial" w:cs="Arial"/>
        </w:rPr>
        <w:t xml:space="preserve">national </w:t>
      </w:r>
      <w:r w:rsidRPr="00DF0B2D">
        <w:rPr>
          <w:rFonts w:ascii="Arial" w:eastAsiaTheme="minorHAnsi" w:hAnsi="Arial" w:cs="Arial"/>
        </w:rPr>
        <w:t xml:space="preserve">industrial relations system, the majority of these employees </w:t>
      </w:r>
      <w:r w:rsidR="000D7DBF" w:rsidRPr="00DF0B2D">
        <w:rPr>
          <w:rFonts w:ascii="Arial" w:eastAsiaTheme="minorHAnsi" w:hAnsi="Arial" w:cs="Arial"/>
        </w:rPr>
        <w:t xml:space="preserve">will be </w:t>
      </w:r>
      <w:r w:rsidRPr="00DF0B2D">
        <w:rPr>
          <w:rFonts w:ascii="Arial" w:eastAsiaTheme="minorHAnsi" w:hAnsi="Arial" w:cs="Arial"/>
        </w:rPr>
        <w:t>subject to national modern awards</w:t>
      </w:r>
      <w:r w:rsidR="00DF0B2D" w:rsidRPr="00DF0B2D">
        <w:rPr>
          <w:rFonts w:ascii="Arial" w:eastAsiaTheme="minorHAnsi" w:hAnsi="Arial" w:cs="Arial"/>
        </w:rPr>
        <w:t>.</w:t>
      </w:r>
      <w:r w:rsidR="006B50B1" w:rsidRPr="008B0C4E">
        <w:rPr>
          <w:rFonts w:ascii="Arial" w:eastAsiaTheme="minorHAnsi" w:hAnsi="Arial" w:cs="Arial"/>
          <w:vertAlign w:val="superscript"/>
        </w:rPr>
        <w:footnoteReference w:id="14"/>
      </w:r>
      <w:r w:rsidRPr="00DF0B2D">
        <w:rPr>
          <w:rFonts w:ascii="Arial" w:eastAsiaTheme="minorHAnsi" w:hAnsi="Arial" w:cs="Arial"/>
        </w:rPr>
        <w:t xml:space="preserve"> </w:t>
      </w:r>
    </w:p>
    <w:p w:rsidR="002E3D4E" w:rsidRPr="002E3D4E" w:rsidRDefault="008B0C4E" w:rsidP="000F5A38">
      <w:pPr>
        <w:numPr>
          <w:ilvl w:val="0"/>
          <w:numId w:val="25"/>
        </w:numPr>
        <w:spacing w:after="240" w:line="240" w:lineRule="auto"/>
        <w:ind w:left="567" w:hanging="567"/>
        <w:jc w:val="both"/>
        <w:rPr>
          <w:rFonts w:ascii="Arial" w:hAnsi="Arial" w:cs="Arial"/>
          <w:lang w:val="en-US"/>
        </w:rPr>
      </w:pPr>
      <w:r w:rsidRPr="004C5DAB">
        <w:rPr>
          <w:rFonts w:ascii="Arial" w:hAnsi="Arial" w:cs="Arial"/>
          <w:lang w:val="en-US"/>
        </w:rPr>
        <w:t xml:space="preserve">Nationally, award </w:t>
      </w:r>
      <w:r w:rsidRPr="004C5DAB">
        <w:rPr>
          <w:rFonts w:ascii="Arial" w:eastAsiaTheme="minorHAnsi" w:hAnsi="Arial" w:cs="Arial"/>
        </w:rPr>
        <w:t>reliance fell from 24.5 pe</w:t>
      </w:r>
      <w:r w:rsidR="00120C2D">
        <w:rPr>
          <w:rFonts w:ascii="Arial" w:eastAsiaTheme="minorHAnsi" w:hAnsi="Arial" w:cs="Arial"/>
        </w:rPr>
        <w:t>r cent to 22.5 per cent amongst</w:t>
      </w:r>
      <w:r w:rsidRPr="004C5DAB">
        <w:rPr>
          <w:rFonts w:ascii="Arial" w:eastAsiaTheme="minorHAnsi" w:hAnsi="Arial" w:cs="Arial"/>
        </w:rPr>
        <w:t xml:space="preserve"> non-managerial employees between 2016 and 2018.</w:t>
      </w:r>
      <w:r w:rsidR="002E3D4E">
        <w:rPr>
          <w:rStyle w:val="FootnoteReference"/>
          <w:rFonts w:ascii="Arial" w:hAnsi="Arial" w:cs="Arial"/>
          <w:lang w:val="en-US"/>
        </w:rPr>
        <w:footnoteReference w:id="15"/>
      </w:r>
      <w:r w:rsidR="004C5DAB">
        <w:rPr>
          <w:rFonts w:ascii="Arial" w:eastAsiaTheme="minorHAnsi" w:hAnsi="Arial" w:cs="Arial"/>
        </w:rPr>
        <w:t xml:space="preserve"> </w:t>
      </w:r>
    </w:p>
    <w:p w:rsidR="008B0C4E" w:rsidRPr="004C5DAB" w:rsidRDefault="008B0C4E" w:rsidP="000F5A38">
      <w:pPr>
        <w:numPr>
          <w:ilvl w:val="0"/>
          <w:numId w:val="25"/>
        </w:numPr>
        <w:spacing w:after="240" w:line="240" w:lineRule="auto"/>
        <w:ind w:left="567" w:hanging="567"/>
        <w:jc w:val="both"/>
        <w:rPr>
          <w:rFonts w:ascii="Arial" w:hAnsi="Arial" w:cs="Arial"/>
          <w:lang w:val="en-US"/>
        </w:rPr>
      </w:pPr>
      <w:r w:rsidRPr="004C5DAB">
        <w:rPr>
          <w:rFonts w:ascii="Arial" w:eastAsiaTheme="minorHAnsi" w:hAnsi="Arial" w:cs="Arial"/>
        </w:rPr>
        <w:lastRenderedPageBreak/>
        <w:t xml:space="preserve">As at May </w:t>
      </w:r>
      <w:r w:rsidR="005127E4" w:rsidRPr="004C5DAB">
        <w:rPr>
          <w:rFonts w:ascii="Arial" w:eastAsiaTheme="minorHAnsi" w:hAnsi="Arial" w:cs="Arial"/>
        </w:rPr>
        <w:t>2018,</w:t>
      </w:r>
      <w:r w:rsidRPr="004C5DAB">
        <w:rPr>
          <w:rFonts w:ascii="Arial" w:eastAsiaTheme="minorHAnsi" w:hAnsi="Arial" w:cs="Arial"/>
        </w:rPr>
        <w:t xml:space="preserve"> approximately </w:t>
      </w:r>
      <w:r w:rsidRPr="004C5DAB">
        <w:rPr>
          <w:rFonts w:ascii="Arial" w:hAnsi="Arial" w:cs="Arial"/>
          <w:lang w:val="en-US"/>
        </w:rPr>
        <w:t>2.23 million Australian employees were paid entirely in accordance with an award, the majority of whom would be subject to national modern awards.</w:t>
      </w:r>
      <w:r w:rsidR="001C23DF" w:rsidRPr="001C23DF">
        <w:rPr>
          <w:rStyle w:val="FootnoteReference"/>
          <w:rFonts w:ascii="Arial" w:hAnsi="Arial" w:cs="Arial"/>
          <w:lang w:val="en-US"/>
        </w:rPr>
        <w:t xml:space="preserve"> </w:t>
      </w:r>
    </w:p>
    <w:p w:rsidR="008B0C4E" w:rsidRPr="00EA3A5A" w:rsidRDefault="004436E1" w:rsidP="008B0C4E">
      <w:pPr>
        <w:numPr>
          <w:ilvl w:val="0"/>
          <w:numId w:val="25"/>
        </w:numPr>
        <w:spacing w:after="240" w:line="240" w:lineRule="auto"/>
        <w:ind w:left="567" w:hanging="567"/>
        <w:jc w:val="both"/>
        <w:rPr>
          <w:rFonts w:ascii="Arial" w:eastAsiaTheme="minorHAnsi" w:hAnsi="Arial" w:cs="Arial"/>
          <w:color w:val="000000" w:themeColor="text1"/>
        </w:rPr>
      </w:pPr>
      <w:r w:rsidRPr="000D7DBF">
        <w:rPr>
          <w:rFonts w:ascii="Arial" w:hAnsi="Arial" w:cs="Arial"/>
          <w:lang w:val="en-US"/>
        </w:rPr>
        <w:t xml:space="preserve">Many </w:t>
      </w:r>
      <w:r w:rsidR="008B0C4E" w:rsidRPr="000D7DBF">
        <w:rPr>
          <w:rFonts w:ascii="Arial" w:hAnsi="Arial" w:cs="Arial"/>
          <w:lang w:val="en-US"/>
        </w:rPr>
        <w:t>award</w:t>
      </w:r>
      <w:r w:rsidR="0026586F">
        <w:rPr>
          <w:rFonts w:ascii="Arial" w:hAnsi="Arial" w:cs="Arial"/>
          <w:lang w:val="en-US"/>
        </w:rPr>
        <w:t>-</w:t>
      </w:r>
      <w:r w:rsidR="008B0C4E" w:rsidRPr="000D7DBF">
        <w:rPr>
          <w:rFonts w:ascii="Arial" w:hAnsi="Arial" w:cs="Arial"/>
          <w:lang w:val="en-US"/>
        </w:rPr>
        <w:t>reliant employees</w:t>
      </w:r>
      <w:r w:rsidRPr="000D7DBF">
        <w:rPr>
          <w:rFonts w:ascii="Arial" w:hAnsi="Arial" w:cs="Arial"/>
          <w:lang w:val="en-US"/>
        </w:rPr>
        <w:t>, as well as an increasing number of employees covered by federal enterprise agreements, a</w:t>
      </w:r>
      <w:r w:rsidR="008B0C4E" w:rsidRPr="000D7DBF">
        <w:rPr>
          <w:rFonts w:ascii="Arial" w:hAnsi="Arial" w:cs="Arial"/>
          <w:lang w:val="en-US"/>
        </w:rPr>
        <w:t>re dependent on increases determined in the AWR to meet changes in their everyday living costs</w:t>
      </w:r>
      <w:r w:rsidRPr="000D7DBF">
        <w:rPr>
          <w:rFonts w:ascii="Arial" w:hAnsi="Arial" w:cs="Arial"/>
          <w:lang w:val="en-US"/>
        </w:rPr>
        <w:t xml:space="preserve">. </w:t>
      </w:r>
      <w:r w:rsidR="00CB4490" w:rsidRPr="000D7DBF">
        <w:rPr>
          <w:rFonts w:ascii="Arial" w:hAnsi="Arial" w:cs="Arial"/>
          <w:lang w:val="en-US"/>
        </w:rPr>
        <w:t xml:space="preserve">It is therefore </w:t>
      </w:r>
      <w:r w:rsidR="00843DD9">
        <w:rPr>
          <w:rFonts w:ascii="Arial" w:hAnsi="Arial" w:cs="Arial"/>
          <w:lang w:val="en-US"/>
        </w:rPr>
        <w:t>important</w:t>
      </w:r>
      <w:r w:rsidR="00CB4490" w:rsidRPr="000D7DBF">
        <w:rPr>
          <w:rFonts w:ascii="Arial" w:hAnsi="Arial" w:cs="Arial"/>
          <w:lang w:val="en-US"/>
        </w:rPr>
        <w:t xml:space="preserve"> that </w:t>
      </w:r>
      <w:r w:rsidR="008D5F84">
        <w:rPr>
          <w:rFonts w:ascii="Arial" w:hAnsi="Arial" w:cs="Arial"/>
          <w:lang w:val="en-US"/>
        </w:rPr>
        <w:t>low paid and award</w:t>
      </w:r>
      <w:r w:rsidR="0026586F">
        <w:rPr>
          <w:rFonts w:ascii="Arial" w:hAnsi="Arial" w:cs="Arial"/>
          <w:lang w:val="en-US"/>
        </w:rPr>
        <w:t>-</w:t>
      </w:r>
      <w:r w:rsidR="008D5F84">
        <w:rPr>
          <w:rFonts w:ascii="Arial" w:hAnsi="Arial" w:cs="Arial"/>
          <w:lang w:val="en-US"/>
        </w:rPr>
        <w:t xml:space="preserve">reliant employees are afforded regular and </w:t>
      </w:r>
      <w:r w:rsidR="003E2ADF" w:rsidRPr="000D7DBF">
        <w:rPr>
          <w:rFonts w:ascii="Arial" w:hAnsi="Arial" w:cs="Arial"/>
          <w:lang w:val="en-US"/>
        </w:rPr>
        <w:t xml:space="preserve">meaningful </w:t>
      </w:r>
      <w:r w:rsidR="008B0C4E" w:rsidRPr="000D7DBF">
        <w:rPr>
          <w:rFonts w:ascii="Arial" w:hAnsi="Arial" w:cs="Arial"/>
          <w:lang w:val="en-US"/>
        </w:rPr>
        <w:t>adjustments to pay</w:t>
      </w:r>
      <w:r w:rsidR="008D5F84">
        <w:rPr>
          <w:rFonts w:ascii="Arial" w:hAnsi="Arial" w:cs="Arial"/>
          <w:lang w:val="en-US"/>
        </w:rPr>
        <w:t xml:space="preserve">, to </w:t>
      </w:r>
      <w:r w:rsidR="008B0C4E" w:rsidRPr="000D7DBF">
        <w:rPr>
          <w:rFonts w:ascii="Arial" w:hAnsi="Arial" w:cs="Arial"/>
          <w:lang w:val="en-US"/>
        </w:rPr>
        <w:t>ensure the</w:t>
      </w:r>
      <w:r w:rsidR="008D5F84">
        <w:rPr>
          <w:rFonts w:ascii="Arial" w:hAnsi="Arial" w:cs="Arial"/>
          <w:lang w:val="en-US"/>
        </w:rPr>
        <w:t>ir</w:t>
      </w:r>
      <w:r w:rsidR="008B0C4E" w:rsidRPr="000D7DBF">
        <w:rPr>
          <w:rFonts w:ascii="Arial" w:hAnsi="Arial" w:cs="Arial"/>
          <w:lang w:val="en-US"/>
        </w:rPr>
        <w:t xml:space="preserve"> needs </w:t>
      </w:r>
      <w:r w:rsidR="008D5F84">
        <w:rPr>
          <w:rFonts w:ascii="Arial" w:hAnsi="Arial" w:cs="Arial"/>
          <w:lang w:val="en-US"/>
        </w:rPr>
        <w:t xml:space="preserve">are </w:t>
      </w:r>
      <w:r w:rsidR="008B0C4E" w:rsidRPr="00EA3A5A">
        <w:rPr>
          <w:rFonts w:ascii="Arial" w:hAnsi="Arial" w:cs="Arial"/>
          <w:lang w:val="en-US"/>
        </w:rPr>
        <w:t xml:space="preserve">adequately safeguarded. </w:t>
      </w:r>
    </w:p>
    <w:p w:rsidR="00A666D9" w:rsidRPr="00EA3A5A" w:rsidRDefault="00232131" w:rsidP="003E034F">
      <w:pPr>
        <w:numPr>
          <w:ilvl w:val="0"/>
          <w:numId w:val="25"/>
        </w:numPr>
        <w:spacing w:after="240" w:line="240" w:lineRule="auto"/>
        <w:ind w:left="567" w:hanging="567"/>
        <w:jc w:val="both"/>
        <w:rPr>
          <w:rFonts w:ascii="Arial" w:hAnsi="Arial" w:cs="Arial"/>
          <w:color w:val="000000" w:themeColor="text1"/>
          <w:lang w:val="en-US"/>
        </w:rPr>
      </w:pPr>
      <w:r w:rsidRPr="00EA3A5A">
        <w:rPr>
          <w:rFonts w:ascii="Arial" w:hAnsi="Arial" w:cs="Arial"/>
          <w:lang w:val="en-US"/>
        </w:rPr>
        <w:t xml:space="preserve">As demonstrated in Table 1 below, </w:t>
      </w:r>
      <w:r w:rsidR="00FB7500">
        <w:rPr>
          <w:rFonts w:ascii="Arial" w:hAnsi="Arial" w:cs="Arial"/>
          <w:lang w:val="en-US"/>
        </w:rPr>
        <w:t xml:space="preserve">over 35 per cent of all </w:t>
      </w:r>
      <w:r w:rsidR="008B0C4E" w:rsidRPr="00EA3A5A">
        <w:rPr>
          <w:rFonts w:ascii="Arial" w:hAnsi="Arial" w:cs="Arial"/>
          <w:lang w:val="en-US"/>
        </w:rPr>
        <w:t>Western Australia</w:t>
      </w:r>
      <w:r w:rsidR="007E0A00" w:rsidRPr="00EA3A5A">
        <w:rPr>
          <w:rFonts w:ascii="Arial" w:hAnsi="Arial" w:cs="Arial"/>
          <w:lang w:val="en-US"/>
        </w:rPr>
        <w:t xml:space="preserve">n employees work in </w:t>
      </w:r>
      <w:r w:rsidR="00FB7500">
        <w:rPr>
          <w:rFonts w:ascii="Arial" w:hAnsi="Arial" w:cs="Arial"/>
          <w:lang w:val="en-US"/>
        </w:rPr>
        <w:t>the five most award</w:t>
      </w:r>
      <w:r w:rsidR="0026586F">
        <w:rPr>
          <w:rFonts w:ascii="Arial" w:hAnsi="Arial" w:cs="Arial"/>
          <w:lang w:val="en-US"/>
        </w:rPr>
        <w:t>-</w:t>
      </w:r>
      <w:r w:rsidR="007E0A00" w:rsidRPr="00EA3A5A">
        <w:rPr>
          <w:rFonts w:ascii="Arial" w:hAnsi="Arial" w:cs="Arial"/>
          <w:lang w:val="en-US"/>
        </w:rPr>
        <w:t xml:space="preserve">reliant industries, </w:t>
      </w:r>
      <w:r w:rsidR="00FB7500">
        <w:rPr>
          <w:rFonts w:ascii="Arial" w:hAnsi="Arial" w:cs="Arial"/>
          <w:lang w:val="en-US"/>
        </w:rPr>
        <w:t xml:space="preserve">further </w:t>
      </w:r>
      <w:r w:rsidR="00A666D9" w:rsidRPr="00EA3A5A">
        <w:rPr>
          <w:rFonts w:ascii="Arial" w:hAnsi="Arial" w:cs="Arial"/>
          <w:lang w:val="en-US"/>
        </w:rPr>
        <w:t>underl</w:t>
      </w:r>
      <w:r w:rsidR="00FB7500">
        <w:rPr>
          <w:rFonts w:ascii="Arial" w:hAnsi="Arial" w:cs="Arial"/>
          <w:lang w:val="en-US"/>
        </w:rPr>
        <w:t>ying</w:t>
      </w:r>
      <w:r w:rsidR="00A666D9" w:rsidRPr="00EA3A5A">
        <w:rPr>
          <w:rFonts w:ascii="Arial" w:hAnsi="Arial" w:cs="Arial"/>
          <w:lang w:val="en-US"/>
        </w:rPr>
        <w:t xml:space="preserve"> the important </w:t>
      </w:r>
      <w:r w:rsidR="00A666D9" w:rsidRPr="00EA3A5A">
        <w:rPr>
          <w:rFonts w:ascii="Arial" w:hAnsi="Arial" w:cs="Arial"/>
          <w:color w:val="000000" w:themeColor="text1"/>
          <w:lang w:val="en-US"/>
        </w:rPr>
        <w:t xml:space="preserve">role the AWR plays in </w:t>
      </w:r>
      <w:r w:rsidR="00EA3A5A" w:rsidRPr="00EA3A5A">
        <w:rPr>
          <w:rFonts w:ascii="Arial" w:hAnsi="Arial" w:cs="Arial"/>
          <w:color w:val="000000" w:themeColor="text1"/>
          <w:lang w:val="en-US"/>
        </w:rPr>
        <w:t xml:space="preserve">fostering improved financial wellbeing for affected workers. </w:t>
      </w:r>
      <w:r w:rsidR="00A666D9" w:rsidRPr="00EA3A5A">
        <w:rPr>
          <w:rFonts w:ascii="Arial" w:hAnsi="Arial" w:cs="Arial"/>
          <w:color w:val="000000" w:themeColor="text1"/>
          <w:lang w:val="en-US"/>
        </w:rPr>
        <w:t xml:space="preserve"> </w:t>
      </w:r>
    </w:p>
    <w:p w:rsidR="004715DB" w:rsidRPr="004715DB" w:rsidRDefault="004715DB" w:rsidP="004715DB">
      <w:pPr>
        <w:spacing w:line="240" w:lineRule="auto"/>
        <w:ind w:right="-371"/>
        <w:jc w:val="center"/>
        <w:rPr>
          <w:rFonts w:ascii="Arial" w:hAnsi="Arial" w:cs="Arial"/>
          <w:b/>
          <w:sz w:val="20"/>
          <w:szCs w:val="20"/>
          <w:lang w:val="en-US"/>
        </w:rPr>
      </w:pPr>
      <w:r w:rsidRPr="004715DB">
        <w:rPr>
          <w:rFonts w:ascii="Arial" w:hAnsi="Arial" w:cs="Arial"/>
          <w:b/>
          <w:sz w:val="20"/>
          <w:szCs w:val="20"/>
          <w:lang w:val="en-US"/>
        </w:rPr>
        <w:t>Table 1: Employment and award reliance by industry - WA and Australia, November Quarter 2019</w:t>
      </w:r>
    </w:p>
    <w:tbl>
      <w:tblPr>
        <w:tblStyle w:val="ColorfulList-Accent21"/>
        <w:tblW w:w="959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786"/>
        <w:gridCol w:w="1559"/>
        <w:gridCol w:w="1418"/>
        <w:gridCol w:w="1836"/>
      </w:tblGrid>
      <w:tr w:rsidR="004715DB" w:rsidRPr="004715DB" w:rsidTr="002E3D4E">
        <w:trPr>
          <w:cnfStyle w:val="100000000000" w:firstRow="1" w:lastRow="0" w:firstColumn="0" w:lastColumn="0" w:oddVBand="0" w:evenVBand="0" w:oddHBand="0"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4786" w:type="dxa"/>
            <w:tcBorders>
              <w:bottom w:val="none" w:sz="0" w:space="0" w:color="auto"/>
            </w:tcBorders>
            <w:shd w:val="clear" w:color="auto" w:fill="92CDDC" w:themeFill="accent5" w:themeFillTint="99"/>
            <w:vAlign w:val="center"/>
            <w:hideMark/>
          </w:tcPr>
          <w:p w:rsidR="004715DB" w:rsidRPr="004715DB" w:rsidRDefault="004715DB" w:rsidP="004715DB">
            <w:pPr>
              <w:jc w:val="center"/>
              <w:rPr>
                <w:rFonts w:ascii="Arial" w:eastAsiaTheme="minorHAnsi" w:hAnsi="Arial" w:cs="Arial"/>
                <w:color w:val="000000"/>
              </w:rPr>
            </w:pPr>
            <w:r w:rsidRPr="004715DB">
              <w:rPr>
                <w:rFonts w:ascii="Arial" w:eastAsiaTheme="minorHAnsi" w:hAnsi="Arial" w:cs="Arial"/>
                <w:color w:val="000000"/>
              </w:rPr>
              <w:t>Industry</w:t>
            </w:r>
          </w:p>
        </w:tc>
        <w:tc>
          <w:tcPr>
            <w:tcW w:w="1559" w:type="dxa"/>
            <w:tcBorders>
              <w:bottom w:val="none" w:sz="0" w:space="0" w:color="auto"/>
            </w:tcBorders>
            <w:shd w:val="clear" w:color="auto" w:fill="92CDDC" w:themeFill="accent5" w:themeFillTint="99"/>
            <w:vAlign w:val="center"/>
            <w:hideMark/>
          </w:tcPr>
          <w:p w:rsidR="004715DB" w:rsidRPr="004715DB" w:rsidRDefault="004715DB" w:rsidP="002E3D4E">
            <w:pPr>
              <w:ind w:left="70" w:hanging="30"/>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000000" w:themeColor="text1"/>
              </w:rPr>
            </w:pPr>
            <w:r w:rsidRPr="004715DB">
              <w:rPr>
                <w:rFonts w:ascii="Arial" w:eastAsiaTheme="minorHAnsi" w:hAnsi="Arial" w:cs="Arial"/>
                <w:color w:val="000000" w:themeColor="text1"/>
              </w:rPr>
              <w:t>WA: Proportion of Workforce</w:t>
            </w:r>
            <w:r w:rsidRPr="004715DB">
              <w:rPr>
                <w:rFonts w:ascii="Arial" w:eastAsiaTheme="minorHAnsi" w:hAnsi="Arial" w:cs="Arial"/>
                <w:color w:val="000000" w:themeColor="text1"/>
                <w:vertAlign w:val="superscript"/>
              </w:rPr>
              <w:footnoteReference w:id="16"/>
            </w:r>
          </w:p>
        </w:tc>
        <w:tc>
          <w:tcPr>
            <w:tcW w:w="1418" w:type="dxa"/>
            <w:tcBorders>
              <w:bottom w:val="none" w:sz="0" w:space="0" w:color="auto"/>
            </w:tcBorders>
            <w:shd w:val="clear" w:color="auto" w:fill="92CDDC" w:themeFill="accent5" w:themeFillTint="99"/>
            <w:vAlign w:val="center"/>
            <w:hideMark/>
          </w:tcPr>
          <w:p w:rsidR="004715DB" w:rsidRPr="004715DB" w:rsidRDefault="004715DB" w:rsidP="002E3D4E">
            <w:pPr>
              <w:ind w:left="-110" w:right="-110"/>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000000" w:themeColor="text1"/>
              </w:rPr>
            </w:pPr>
            <w:r w:rsidRPr="004715DB">
              <w:rPr>
                <w:rFonts w:ascii="Arial" w:eastAsiaTheme="minorHAnsi" w:hAnsi="Arial" w:cs="Arial"/>
                <w:color w:val="000000" w:themeColor="text1"/>
              </w:rPr>
              <w:t>Australia: Proportion of Workforce</w:t>
            </w:r>
            <w:r w:rsidR="002E3D4E">
              <w:rPr>
                <w:rFonts w:ascii="Arial" w:eastAsiaTheme="minorHAnsi" w:hAnsi="Arial" w:cs="Arial"/>
                <w:color w:val="000000" w:themeColor="text1"/>
                <w:vertAlign w:val="superscript"/>
              </w:rPr>
              <w:t>16</w:t>
            </w:r>
          </w:p>
        </w:tc>
        <w:tc>
          <w:tcPr>
            <w:tcW w:w="1836" w:type="dxa"/>
            <w:tcBorders>
              <w:bottom w:val="none" w:sz="0" w:space="0" w:color="auto"/>
            </w:tcBorders>
            <w:shd w:val="clear" w:color="auto" w:fill="92CDDC" w:themeFill="accent5" w:themeFillTint="99"/>
            <w:vAlign w:val="center"/>
          </w:tcPr>
          <w:p w:rsidR="004715DB" w:rsidRPr="004715DB" w:rsidRDefault="004715DB" w:rsidP="004715DB">
            <w:pPr>
              <w:ind w:left="27" w:hanging="27"/>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000000" w:themeColor="text1"/>
                <w:highlight w:val="yellow"/>
              </w:rPr>
            </w:pPr>
            <w:r w:rsidRPr="004715DB">
              <w:rPr>
                <w:rFonts w:ascii="Arial" w:eastAsiaTheme="minorHAnsi" w:hAnsi="Arial" w:cs="Arial"/>
                <w:color w:val="000000" w:themeColor="text1"/>
              </w:rPr>
              <w:t>Australia: Proportion of employees paid by award</w:t>
            </w:r>
            <w:r w:rsidRPr="004715DB">
              <w:rPr>
                <w:rFonts w:ascii="Arial" w:eastAsiaTheme="minorHAnsi" w:hAnsi="Arial" w:cs="Arial"/>
                <w:color w:val="000000" w:themeColor="text1"/>
                <w:vertAlign w:val="superscript"/>
              </w:rPr>
              <w:footnoteReference w:id="17"/>
            </w:r>
          </w:p>
        </w:tc>
      </w:tr>
      <w:tr w:rsidR="004715DB" w:rsidRPr="004715DB" w:rsidTr="002E3D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shd w:val="clear" w:color="auto" w:fill="92CDDC" w:themeFill="accent5" w:themeFillTint="99"/>
            <w:vAlign w:val="center"/>
            <w:hideMark/>
          </w:tcPr>
          <w:p w:rsidR="004715DB" w:rsidRPr="004715DB" w:rsidRDefault="004715DB" w:rsidP="004715DB">
            <w:pPr>
              <w:rPr>
                <w:rFonts w:ascii="Arial" w:eastAsiaTheme="minorHAnsi" w:hAnsi="Arial" w:cs="Arial"/>
                <w:color w:val="000000"/>
              </w:rPr>
            </w:pPr>
            <w:r w:rsidRPr="004715DB">
              <w:rPr>
                <w:rFonts w:ascii="Arial" w:eastAsiaTheme="minorHAnsi" w:hAnsi="Arial" w:cs="Arial"/>
                <w:color w:val="000000"/>
              </w:rPr>
              <w:t>Accommodation and Food Services</w:t>
            </w:r>
          </w:p>
        </w:tc>
        <w:tc>
          <w:tcPr>
            <w:tcW w:w="1559" w:type="dxa"/>
            <w:shd w:val="clear" w:color="auto" w:fill="92CDDC" w:themeFill="accent5" w:themeFillTint="99"/>
            <w:noWrap/>
            <w:vAlign w:val="center"/>
          </w:tcPr>
          <w:p w:rsidR="004715DB" w:rsidRPr="004715DB" w:rsidRDefault="004715DB" w:rsidP="004715DB">
            <w:pPr>
              <w:ind w:left="360" w:hanging="326"/>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6.1%</w:t>
            </w:r>
          </w:p>
        </w:tc>
        <w:tc>
          <w:tcPr>
            <w:tcW w:w="1418" w:type="dxa"/>
            <w:shd w:val="clear" w:color="auto" w:fill="92CDDC" w:themeFill="accent5" w:themeFillTint="99"/>
            <w:noWrap/>
            <w:vAlign w:val="center"/>
          </w:tcPr>
          <w:p w:rsidR="004715DB" w:rsidRPr="004715DB" w:rsidRDefault="004715DB" w:rsidP="004715DB">
            <w:pPr>
              <w:ind w:left="360" w:hanging="224"/>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highlight w:val="yellow"/>
              </w:rPr>
            </w:pPr>
            <w:r w:rsidRPr="004715DB">
              <w:rPr>
                <w:rFonts w:ascii="Arial" w:eastAsiaTheme="minorHAnsi" w:hAnsi="Arial" w:cs="Arial"/>
                <w:color w:val="000000"/>
              </w:rPr>
              <w:t>7.1%</w:t>
            </w:r>
          </w:p>
        </w:tc>
        <w:tc>
          <w:tcPr>
            <w:tcW w:w="1836" w:type="dxa"/>
            <w:shd w:val="clear" w:color="auto" w:fill="92CDDC" w:themeFill="accent5" w:themeFillTint="99"/>
            <w:vAlign w:val="center"/>
          </w:tcPr>
          <w:p w:rsidR="004715DB" w:rsidRPr="004715DB" w:rsidRDefault="004715DB" w:rsidP="004715DB">
            <w:pPr>
              <w:ind w:left="360" w:hanging="333"/>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44.9%</w:t>
            </w:r>
          </w:p>
        </w:tc>
      </w:tr>
      <w:tr w:rsidR="004715DB" w:rsidRPr="004715DB" w:rsidTr="002E3D4E">
        <w:trPr>
          <w:trHeight w:val="255"/>
        </w:trPr>
        <w:tc>
          <w:tcPr>
            <w:cnfStyle w:val="001000000000" w:firstRow="0" w:lastRow="0" w:firstColumn="1" w:lastColumn="0" w:oddVBand="0" w:evenVBand="0" w:oddHBand="0" w:evenHBand="0" w:firstRowFirstColumn="0" w:firstRowLastColumn="0" w:lastRowFirstColumn="0" w:lastRowLastColumn="0"/>
            <w:tcW w:w="4786" w:type="dxa"/>
            <w:shd w:val="clear" w:color="auto" w:fill="DAEEF3" w:themeFill="accent5" w:themeFillTint="33"/>
            <w:vAlign w:val="center"/>
            <w:hideMark/>
          </w:tcPr>
          <w:p w:rsidR="004715DB" w:rsidRPr="004715DB" w:rsidRDefault="004715DB" w:rsidP="004715DB">
            <w:pPr>
              <w:rPr>
                <w:rFonts w:ascii="Arial" w:eastAsiaTheme="minorHAnsi" w:hAnsi="Arial" w:cs="Arial"/>
                <w:color w:val="000000"/>
              </w:rPr>
            </w:pPr>
            <w:r w:rsidRPr="004715DB">
              <w:rPr>
                <w:rFonts w:ascii="Arial" w:eastAsiaTheme="minorHAnsi" w:hAnsi="Arial" w:cs="Arial"/>
                <w:color w:val="000000"/>
              </w:rPr>
              <w:t>Administrative and Support Services</w:t>
            </w:r>
          </w:p>
        </w:tc>
        <w:tc>
          <w:tcPr>
            <w:tcW w:w="1559" w:type="dxa"/>
            <w:shd w:val="clear" w:color="auto" w:fill="DAEEF3" w:themeFill="accent5" w:themeFillTint="33"/>
            <w:noWrap/>
            <w:vAlign w:val="center"/>
          </w:tcPr>
          <w:p w:rsidR="004715DB" w:rsidRPr="004715DB" w:rsidRDefault="004715DB" w:rsidP="004715DB">
            <w:pPr>
              <w:ind w:left="360" w:hanging="326"/>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3.2%</w:t>
            </w:r>
          </w:p>
        </w:tc>
        <w:tc>
          <w:tcPr>
            <w:tcW w:w="1418" w:type="dxa"/>
            <w:shd w:val="clear" w:color="auto" w:fill="DAEEF3" w:themeFill="accent5" w:themeFillTint="33"/>
            <w:noWrap/>
            <w:vAlign w:val="center"/>
          </w:tcPr>
          <w:p w:rsidR="004715DB" w:rsidRPr="004715DB" w:rsidRDefault="004715DB" w:rsidP="004715DB">
            <w:pPr>
              <w:ind w:left="360" w:hanging="224"/>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highlight w:val="yellow"/>
              </w:rPr>
            </w:pPr>
            <w:r w:rsidRPr="004715DB">
              <w:rPr>
                <w:rFonts w:ascii="Arial" w:eastAsiaTheme="minorHAnsi" w:hAnsi="Arial" w:cs="Arial"/>
                <w:color w:val="000000"/>
              </w:rPr>
              <w:t>3.4%</w:t>
            </w:r>
          </w:p>
        </w:tc>
        <w:tc>
          <w:tcPr>
            <w:tcW w:w="1836" w:type="dxa"/>
            <w:shd w:val="clear" w:color="auto" w:fill="DAEEF3" w:themeFill="accent5" w:themeFillTint="33"/>
            <w:vAlign w:val="center"/>
          </w:tcPr>
          <w:p w:rsidR="004715DB" w:rsidRPr="004715DB" w:rsidRDefault="004715DB" w:rsidP="004715DB">
            <w:pPr>
              <w:ind w:left="360" w:hanging="333"/>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41.3%</w:t>
            </w:r>
          </w:p>
        </w:tc>
      </w:tr>
      <w:tr w:rsidR="004715DB" w:rsidRPr="004715DB" w:rsidTr="002E3D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shd w:val="clear" w:color="auto" w:fill="92CDDC" w:themeFill="accent5" w:themeFillTint="99"/>
            <w:vAlign w:val="center"/>
          </w:tcPr>
          <w:p w:rsidR="004715DB" w:rsidRPr="004715DB" w:rsidRDefault="004715DB" w:rsidP="004715DB">
            <w:pPr>
              <w:rPr>
                <w:rFonts w:ascii="Arial" w:eastAsiaTheme="minorHAnsi" w:hAnsi="Arial" w:cs="Arial"/>
                <w:color w:val="000000"/>
              </w:rPr>
            </w:pPr>
            <w:r w:rsidRPr="004715DB">
              <w:rPr>
                <w:rFonts w:ascii="Arial" w:eastAsiaTheme="minorHAnsi" w:hAnsi="Arial" w:cs="Arial"/>
                <w:color w:val="000000"/>
              </w:rPr>
              <w:t>Other Services</w:t>
            </w:r>
          </w:p>
        </w:tc>
        <w:tc>
          <w:tcPr>
            <w:tcW w:w="1559" w:type="dxa"/>
            <w:shd w:val="clear" w:color="auto" w:fill="92CDDC" w:themeFill="accent5" w:themeFillTint="99"/>
            <w:noWrap/>
            <w:vAlign w:val="center"/>
          </w:tcPr>
          <w:p w:rsidR="004715DB" w:rsidRPr="004715DB" w:rsidRDefault="004715DB" w:rsidP="004715DB">
            <w:pPr>
              <w:ind w:left="360" w:hanging="326"/>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4.5%</w:t>
            </w:r>
          </w:p>
        </w:tc>
        <w:tc>
          <w:tcPr>
            <w:tcW w:w="1418" w:type="dxa"/>
            <w:shd w:val="clear" w:color="auto" w:fill="92CDDC" w:themeFill="accent5" w:themeFillTint="99"/>
            <w:noWrap/>
            <w:vAlign w:val="center"/>
          </w:tcPr>
          <w:p w:rsidR="004715DB" w:rsidRPr="004715DB" w:rsidRDefault="004715DB" w:rsidP="004715DB">
            <w:pPr>
              <w:ind w:left="360" w:hanging="224"/>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highlight w:val="yellow"/>
              </w:rPr>
            </w:pPr>
            <w:r w:rsidRPr="004715DB">
              <w:rPr>
                <w:rFonts w:ascii="Arial" w:eastAsiaTheme="minorHAnsi" w:hAnsi="Arial" w:cs="Arial"/>
                <w:color w:val="000000"/>
              </w:rPr>
              <w:t>3.8%</w:t>
            </w:r>
          </w:p>
        </w:tc>
        <w:tc>
          <w:tcPr>
            <w:tcW w:w="1836" w:type="dxa"/>
            <w:shd w:val="clear" w:color="auto" w:fill="92CDDC" w:themeFill="accent5" w:themeFillTint="99"/>
            <w:vAlign w:val="center"/>
          </w:tcPr>
          <w:p w:rsidR="004715DB" w:rsidRPr="004715DB" w:rsidRDefault="004715DB" w:rsidP="004715DB">
            <w:pPr>
              <w:ind w:left="360" w:hanging="333"/>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38.1%</w:t>
            </w:r>
          </w:p>
        </w:tc>
      </w:tr>
      <w:tr w:rsidR="004715DB" w:rsidRPr="004715DB" w:rsidTr="002E3D4E">
        <w:trPr>
          <w:trHeight w:val="255"/>
        </w:trPr>
        <w:tc>
          <w:tcPr>
            <w:cnfStyle w:val="001000000000" w:firstRow="0" w:lastRow="0" w:firstColumn="1" w:lastColumn="0" w:oddVBand="0" w:evenVBand="0" w:oddHBand="0" w:evenHBand="0" w:firstRowFirstColumn="0" w:firstRowLastColumn="0" w:lastRowFirstColumn="0" w:lastRowLastColumn="0"/>
            <w:tcW w:w="4786" w:type="dxa"/>
            <w:shd w:val="clear" w:color="auto" w:fill="DAEEF3" w:themeFill="accent5" w:themeFillTint="33"/>
            <w:vAlign w:val="center"/>
          </w:tcPr>
          <w:p w:rsidR="004715DB" w:rsidRPr="004715DB" w:rsidRDefault="004715DB" w:rsidP="004715DB">
            <w:pPr>
              <w:rPr>
                <w:rFonts w:ascii="Arial" w:eastAsiaTheme="minorHAnsi" w:hAnsi="Arial" w:cs="Arial"/>
                <w:color w:val="000000"/>
              </w:rPr>
            </w:pPr>
            <w:r w:rsidRPr="004715DB">
              <w:rPr>
                <w:rFonts w:ascii="Arial" w:eastAsiaTheme="minorHAnsi" w:hAnsi="Arial" w:cs="Arial"/>
                <w:color w:val="000000"/>
              </w:rPr>
              <w:t>Health Care and Social Assistance</w:t>
            </w:r>
          </w:p>
        </w:tc>
        <w:tc>
          <w:tcPr>
            <w:tcW w:w="1559" w:type="dxa"/>
            <w:shd w:val="clear" w:color="auto" w:fill="DAEEF3" w:themeFill="accent5" w:themeFillTint="33"/>
            <w:noWrap/>
            <w:vAlign w:val="center"/>
          </w:tcPr>
          <w:p w:rsidR="004715DB" w:rsidRPr="004715DB" w:rsidRDefault="004715DB" w:rsidP="004715DB">
            <w:pPr>
              <w:ind w:left="360" w:hanging="326"/>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12.3%</w:t>
            </w:r>
          </w:p>
        </w:tc>
        <w:tc>
          <w:tcPr>
            <w:tcW w:w="1418" w:type="dxa"/>
            <w:shd w:val="clear" w:color="auto" w:fill="DAEEF3" w:themeFill="accent5" w:themeFillTint="33"/>
            <w:noWrap/>
            <w:vAlign w:val="center"/>
          </w:tcPr>
          <w:p w:rsidR="004715DB" w:rsidRPr="004715DB" w:rsidRDefault="004715DB" w:rsidP="004715DB">
            <w:pPr>
              <w:ind w:left="360" w:hanging="224"/>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highlight w:val="yellow"/>
              </w:rPr>
            </w:pPr>
            <w:r w:rsidRPr="004715DB">
              <w:rPr>
                <w:rFonts w:ascii="Arial" w:eastAsiaTheme="minorHAnsi" w:hAnsi="Arial" w:cs="Arial"/>
                <w:color w:val="000000"/>
              </w:rPr>
              <w:t>13.7%</w:t>
            </w:r>
          </w:p>
        </w:tc>
        <w:tc>
          <w:tcPr>
            <w:tcW w:w="1836" w:type="dxa"/>
            <w:shd w:val="clear" w:color="auto" w:fill="DAEEF3" w:themeFill="accent5" w:themeFillTint="33"/>
            <w:vAlign w:val="center"/>
          </w:tcPr>
          <w:p w:rsidR="004715DB" w:rsidRPr="004715DB" w:rsidRDefault="004715DB" w:rsidP="004715DB">
            <w:pPr>
              <w:ind w:left="360" w:hanging="333"/>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31.7%</w:t>
            </w:r>
          </w:p>
        </w:tc>
      </w:tr>
      <w:tr w:rsidR="004715DB" w:rsidRPr="004715DB" w:rsidTr="002E3D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shd w:val="clear" w:color="auto" w:fill="92CDDC" w:themeFill="accent5" w:themeFillTint="99"/>
            <w:vAlign w:val="center"/>
            <w:hideMark/>
          </w:tcPr>
          <w:p w:rsidR="004715DB" w:rsidRPr="004715DB" w:rsidRDefault="004715DB" w:rsidP="004715DB">
            <w:pPr>
              <w:rPr>
                <w:rFonts w:ascii="Arial" w:eastAsiaTheme="minorHAnsi" w:hAnsi="Arial" w:cs="Arial"/>
                <w:color w:val="000000"/>
              </w:rPr>
            </w:pPr>
            <w:r w:rsidRPr="004715DB">
              <w:rPr>
                <w:rFonts w:ascii="Arial" w:eastAsiaTheme="minorHAnsi" w:hAnsi="Arial" w:cs="Arial"/>
                <w:color w:val="000000"/>
              </w:rPr>
              <w:t>Retail Trade</w:t>
            </w:r>
          </w:p>
        </w:tc>
        <w:tc>
          <w:tcPr>
            <w:tcW w:w="1559" w:type="dxa"/>
            <w:shd w:val="clear" w:color="auto" w:fill="92CDDC" w:themeFill="accent5" w:themeFillTint="99"/>
            <w:noWrap/>
            <w:vAlign w:val="center"/>
          </w:tcPr>
          <w:p w:rsidR="004715DB" w:rsidRPr="004715DB" w:rsidRDefault="004715DB" w:rsidP="004715DB">
            <w:pPr>
              <w:ind w:left="360" w:hanging="326"/>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9.1%</w:t>
            </w:r>
          </w:p>
        </w:tc>
        <w:tc>
          <w:tcPr>
            <w:tcW w:w="1418" w:type="dxa"/>
            <w:shd w:val="clear" w:color="auto" w:fill="92CDDC" w:themeFill="accent5" w:themeFillTint="99"/>
            <w:noWrap/>
            <w:vAlign w:val="center"/>
          </w:tcPr>
          <w:p w:rsidR="004715DB" w:rsidRPr="004715DB" w:rsidRDefault="004715DB" w:rsidP="004715DB">
            <w:pPr>
              <w:ind w:left="360" w:hanging="224"/>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highlight w:val="yellow"/>
              </w:rPr>
            </w:pPr>
            <w:r w:rsidRPr="004715DB">
              <w:rPr>
                <w:rFonts w:ascii="Arial" w:eastAsiaTheme="minorHAnsi" w:hAnsi="Arial" w:cs="Arial"/>
                <w:color w:val="000000"/>
              </w:rPr>
              <w:t>9.8%</w:t>
            </w:r>
          </w:p>
        </w:tc>
        <w:tc>
          <w:tcPr>
            <w:tcW w:w="1836" w:type="dxa"/>
            <w:shd w:val="clear" w:color="auto" w:fill="92CDDC" w:themeFill="accent5" w:themeFillTint="99"/>
            <w:vAlign w:val="center"/>
          </w:tcPr>
          <w:p w:rsidR="004715DB" w:rsidRPr="004715DB" w:rsidRDefault="004715DB" w:rsidP="004715DB">
            <w:pPr>
              <w:ind w:left="360" w:hanging="333"/>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30.1%</w:t>
            </w:r>
          </w:p>
        </w:tc>
      </w:tr>
      <w:tr w:rsidR="004715DB" w:rsidRPr="004715DB" w:rsidTr="002E3D4E">
        <w:trPr>
          <w:trHeight w:val="255"/>
        </w:trPr>
        <w:tc>
          <w:tcPr>
            <w:cnfStyle w:val="001000000000" w:firstRow="0" w:lastRow="0" w:firstColumn="1" w:lastColumn="0" w:oddVBand="0" w:evenVBand="0" w:oddHBand="0" w:evenHBand="0" w:firstRowFirstColumn="0" w:firstRowLastColumn="0" w:lastRowFirstColumn="0" w:lastRowLastColumn="0"/>
            <w:tcW w:w="4786" w:type="dxa"/>
            <w:shd w:val="clear" w:color="auto" w:fill="DAEEF3" w:themeFill="accent5" w:themeFillTint="33"/>
            <w:vAlign w:val="center"/>
          </w:tcPr>
          <w:p w:rsidR="004715DB" w:rsidRPr="004715DB" w:rsidRDefault="004715DB" w:rsidP="004715DB">
            <w:pPr>
              <w:rPr>
                <w:rFonts w:ascii="Arial" w:eastAsiaTheme="minorHAnsi" w:hAnsi="Arial" w:cs="Arial"/>
                <w:color w:val="000000"/>
              </w:rPr>
            </w:pPr>
            <w:r w:rsidRPr="004715DB">
              <w:rPr>
                <w:rFonts w:ascii="Arial" w:eastAsiaTheme="minorHAnsi" w:hAnsi="Arial" w:cs="Arial"/>
                <w:color w:val="000000"/>
              </w:rPr>
              <w:t>Rental, Hiring and Real Estate Services</w:t>
            </w:r>
          </w:p>
        </w:tc>
        <w:tc>
          <w:tcPr>
            <w:tcW w:w="1559" w:type="dxa"/>
            <w:shd w:val="clear" w:color="auto" w:fill="DAEEF3" w:themeFill="accent5" w:themeFillTint="33"/>
            <w:noWrap/>
            <w:vAlign w:val="center"/>
          </w:tcPr>
          <w:p w:rsidR="004715DB" w:rsidRPr="004715DB" w:rsidRDefault="004715DB" w:rsidP="004715DB">
            <w:pPr>
              <w:ind w:left="360" w:hanging="326"/>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1.6%</w:t>
            </w:r>
          </w:p>
        </w:tc>
        <w:tc>
          <w:tcPr>
            <w:tcW w:w="1418" w:type="dxa"/>
            <w:shd w:val="clear" w:color="auto" w:fill="DAEEF3" w:themeFill="accent5" w:themeFillTint="33"/>
            <w:noWrap/>
            <w:vAlign w:val="center"/>
          </w:tcPr>
          <w:p w:rsidR="004715DB" w:rsidRPr="004715DB" w:rsidRDefault="004715DB" w:rsidP="004715DB">
            <w:pPr>
              <w:ind w:left="360" w:hanging="224"/>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highlight w:val="yellow"/>
              </w:rPr>
            </w:pPr>
            <w:r w:rsidRPr="004715DB">
              <w:rPr>
                <w:rFonts w:ascii="Arial" w:eastAsiaTheme="minorHAnsi" w:hAnsi="Arial" w:cs="Arial"/>
                <w:color w:val="000000"/>
              </w:rPr>
              <w:t>1.7%</w:t>
            </w:r>
          </w:p>
        </w:tc>
        <w:tc>
          <w:tcPr>
            <w:tcW w:w="1836" w:type="dxa"/>
            <w:shd w:val="clear" w:color="auto" w:fill="DAEEF3" w:themeFill="accent5" w:themeFillTint="33"/>
            <w:vAlign w:val="center"/>
          </w:tcPr>
          <w:p w:rsidR="004715DB" w:rsidRPr="004715DB" w:rsidRDefault="004715DB" w:rsidP="004715DB">
            <w:pPr>
              <w:ind w:left="360" w:hanging="333"/>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29.4%</w:t>
            </w:r>
          </w:p>
        </w:tc>
      </w:tr>
      <w:tr w:rsidR="004715DB" w:rsidRPr="004715DB" w:rsidTr="002E3D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shd w:val="clear" w:color="auto" w:fill="92CDDC" w:themeFill="accent5" w:themeFillTint="99"/>
            <w:vAlign w:val="center"/>
          </w:tcPr>
          <w:p w:rsidR="004715DB" w:rsidRPr="004715DB" w:rsidRDefault="004715DB" w:rsidP="004715DB">
            <w:pPr>
              <w:rPr>
                <w:rFonts w:ascii="Arial" w:eastAsiaTheme="minorHAnsi" w:hAnsi="Arial" w:cs="Arial"/>
                <w:color w:val="000000"/>
              </w:rPr>
            </w:pPr>
            <w:r w:rsidRPr="004715DB">
              <w:rPr>
                <w:rFonts w:ascii="Arial" w:eastAsiaTheme="minorHAnsi" w:hAnsi="Arial" w:cs="Arial"/>
                <w:color w:val="000000"/>
              </w:rPr>
              <w:t>Arts and Recreation Services</w:t>
            </w:r>
          </w:p>
        </w:tc>
        <w:tc>
          <w:tcPr>
            <w:tcW w:w="1559" w:type="dxa"/>
            <w:shd w:val="clear" w:color="auto" w:fill="92CDDC" w:themeFill="accent5" w:themeFillTint="99"/>
            <w:noWrap/>
            <w:vAlign w:val="center"/>
          </w:tcPr>
          <w:p w:rsidR="004715DB" w:rsidRPr="004715DB" w:rsidRDefault="004715DB" w:rsidP="004715DB">
            <w:pPr>
              <w:ind w:left="360" w:hanging="326"/>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1.9%</w:t>
            </w:r>
          </w:p>
        </w:tc>
        <w:tc>
          <w:tcPr>
            <w:tcW w:w="1418" w:type="dxa"/>
            <w:shd w:val="clear" w:color="auto" w:fill="92CDDC" w:themeFill="accent5" w:themeFillTint="99"/>
            <w:noWrap/>
            <w:vAlign w:val="center"/>
          </w:tcPr>
          <w:p w:rsidR="004715DB" w:rsidRPr="004715DB" w:rsidRDefault="004715DB" w:rsidP="004715DB">
            <w:pPr>
              <w:ind w:left="360" w:hanging="224"/>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highlight w:val="yellow"/>
              </w:rPr>
            </w:pPr>
            <w:r w:rsidRPr="004715DB">
              <w:rPr>
                <w:rFonts w:ascii="Arial" w:eastAsiaTheme="minorHAnsi" w:hAnsi="Arial" w:cs="Arial"/>
                <w:color w:val="000000"/>
              </w:rPr>
              <w:t>1.9%</w:t>
            </w:r>
          </w:p>
        </w:tc>
        <w:tc>
          <w:tcPr>
            <w:tcW w:w="1836" w:type="dxa"/>
            <w:shd w:val="clear" w:color="auto" w:fill="92CDDC" w:themeFill="accent5" w:themeFillTint="99"/>
            <w:vAlign w:val="center"/>
          </w:tcPr>
          <w:p w:rsidR="004715DB" w:rsidRPr="004715DB" w:rsidRDefault="004715DB" w:rsidP="004715DB">
            <w:pPr>
              <w:ind w:left="360" w:hanging="333"/>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22.5%</w:t>
            </w:r>
          </w:p>
        </w:tc>
      </w:tr>
      <w:tr w:rsidR="004715DB" w:rsidRPr="004715DB" w:rsidTr="002E3D4E">
        <w:trPr>
          <w:trHeight w:val="255"/>
        </w:trPr>
        <w:tc>
          <w:tcPr>
            <w:cnfStyle w:val="001000000000" w:firstRow="0" w:lastRow="0" w:firstColumn="1" w:lastColumn="0" w:oddVBand="0" w:evenVBand="0" w:oddHBand="0" w:evenHBand="0" w:firstRowFirstColumn="0" w:firstRowLastColumn="0" w:lastRowFirstColumn="0" w:lastRowLastColumn="0"/>
            <w:tcW w:w="4786" w:type="dxa"/>
            <w:shd w:val="clear" w:color="auto" w:fill="DAEEF3" w:themeFill="accent5" w:themeFillTint="33"/>
            <w:vAlign w:val="center"/>
          </w:tcPr>
          <w:p w:rsidR="004715DB" w:rsidRPr="004715DB" w:rsidRDefault="004715DB" w:rsidP="004715DB">
            <w:pPr>
              <w:rPr>
                <w:rFonts w:ascii="Arial" w:eastAsiaTheme="minorHAnsi" w:hAnsi="Arial" w:cs="Arial"/>
                <w:color w:val="000000"/>
              </w:rPr>
            </w:pPr>
            <w:r w:rsidRPr="004715DB">
              <w:rPr>
                <w:rFonts w:ascii="Arial" w:eastAsiaTheme="minorHAnsi" w:hAnsi="Arial" w:cs="Arial"/>
                <w:color w:val="000000"/>
              </w:rPr>
              <w:t>Manufacturing</w:t>
            </w:r>
          </w:p>
        </w:tc>
        <w:tc>
          <w:tcPr>
            <w:tcW w:w="1559" w:type="dxa"/>
            <w:shd w:val="clear" w:color="auto" w:fill="DAEEF3" w:themeFill="accent5" w:themeFillTint="33"/>
            <w:noWrap/>
            <w:vAlign w:val="center"/>
          </w:tcPr>
          <w:p w:rsidR="004715DB" w:rsidRPr="004715DB" w:rsidRDefault="004715DB" w:rsidP="004715DB">
            <w:pPr>
              <w:ind w:left="360" w:hanging="326"/>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6.0%</w:t>
            </w:r>
          </w:p>
        </w:tc>
        <w:tc>
          <w:tcPr>
            <w:tcW w:w="1418" w:type="dxa"/>
            <w:shd w:val="clear" w:color="auto" w:fill="DAEEF3" w:themeFill="accent5" w:themeFillTint="33"/>
            <w:noWrap/>
            <w:vAlign w:val="center"/>
          </w:tcPr>
          <w:p w:rsidR="004715DB" w:rsidRPr="004715DB" w:rsidRDefault="004715DB" w:rsidP="004715DB">
            <w:pPr>
              <w:ind w:left="360" w:hanging="224"/>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highlight w:val="yellow"/>
              </w:rPr>
            </w:pPr>
            <w:r w:rsidRPr="004715DB">
              <w:rPr>
                <w:rFonts w:ascii="Arial" w:eastAsiaTheme="minorHAnsi" w:hAnsi="Arial" w:cs="Arial"/>
                <w:color w:val="000000"/>
              </w:rPr>
              <w:t>7.1%</w:t>
            </w:r>
          </w:p>
        </w:tc>
        <w:tc>
          <w:tcPr>
            <w:tcW w:w="1836" w:type="dxa"/>
            <w:shd w:val="clear" w:color="auto" w:fill="DAEEF3" w:themeFill="accent5" w:themeFillTint="33"/>
            <w:vAlign w:val="center"/>
          </w:tcPr>
          <w:p w:rsidR="004715DB" w:rsidRPr="004715DB" w:rsidRDefault="004715DB" w:rsidP="004715DB">
            <w:pPr>
              <w:ind w:left="360" w:hanging="333"/>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20.8%</w:t>
            </w:r>
          </w:p>
        </w:tc>
      </w:tr>
      <w:tr w:rsidR="004715DB" w:rsidRPr="004715DB" w:rsidTr="002E3D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shd w:val="clear" w:color="auto" w:fill="92CDDC" w:themeFill="accent5" w:themeFillTint="99"/>
            <w:vAlign w:val="center"/>
          </w:tcPr>
          <w:p w:rsidR="004715DB" w:rsidRPr="004715DB" w:rsidRDefault="004715DB" w:rsidP="004715DB">
            <w:pPr>
              <w:rPr>
                <w:rFonts w:ascii="Arial" w:eastAsiaTheme="minorHAnsi" w:hAnsi="Arial" w:cs="Arial"/>
                <w:color w:val="000000"/>
              </w:rPr>
            </w:pPr>
            <w:r w:rsidRPr="004715DB">
              <w:rPr>
                <w:rFonts w:ascii="Arial" w:eastAsiaTheme="minorHAnsi" w:hAnsi="Arial" w:cs="Arial"/>
                <w:color w:val="000000"/>
              </w:rPr>
              <w:t>Construction</w:t>
            </w:r>
          </w:p>
        </w:tc>
        <w:tc>
          <w:tcPr>
            <w:tcW w:w="1559" w:type="dxa"/>
            <w:shd w:val="clear" w:color="auto" w:fill="92CDDC" w:themeFill="accent5" w:themeFillTint="99"/>
            <w:noWrap/>
            <w:vAlign w:val="center"/>
          </w:tcPr>
          <w:p w:rsidR="004715DB" w:rsidRPr="004715DB" w:rsidRDefault="004715DB" w:rsidP="004715DB">
            <w:pPr>
              <w:ind w:left="360" w:hanging="326"/>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8.9%</w:t>
            </w:r>
          </w:p>
        </w:tc>
        <w:tc>
          <w:tcPr>
            <w:tcW w:w="1418" w:type="dxa"/>
            <w:shd w:val="clear" w:color="auto" w:fill="92CDDC" w:themeFill="accent5" w:themeFillTint="99"/>
            <w:noWrap/>
            <w:vAlign w:val="center"/>
          </w:tcPr>
          <w:p w:rsidR="004715DB" w:rsidRPr="004715DB" w:rsidRDefault="004715DB" w:rsidP="004715DB">
            <w:pPr>
              <w:ind w:left="360" w:hanging="224"/>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highlight w:val="yellow"/>
              </w:rPr>
            </w:pPr>
            <w:r w:rsidRPr="004715DB">
              <w:rPr>
                <w:rFonts w:ascii="Arial" w:eastAsiaTheme="minorHAnsi" w:hAnsi="Arial" w:cs="Arial"/>
                <w:color w:val="000000"/>
              </w:rPr>
              <w:t>9.1%</w:t>
            </w:r>
          </w:p>
        </w:tc>
        <w:tc>
          <w:tcPr>
            <w:tcW w:w="1836" w:type="dxa"/>
            <w:shd w:val="clear" w:color="auto" w:fill="92CDDC" w:themeFill="accent5" w:themeFillTint="99"/>
            <w:vAlign w:val="center"/>
          </w:tcPr>
          <w:p w:rsidR="004715DB" w:rsidRPr="004715DB" w:rsidRDefault="004715DB" w:rsidP="004715DB">
            <w:pPr>
              <w:ind w:left="360" w:hanging="333"/>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16.6%</w:t>
            </w:r>
          </w:p>
        </w:tc>
      </w:tr>
      <w:tr w:rsidR="004715DB" w:rsidRPr="004715DB" w:rsidTr="002E3D4E">
        <w:trPr>
          <w:trHeight w:val="255"/>
        </w:trPr>
        <w:tc>
          <w:tcPr>
            <w:cnfStyle w:val="001000000000" w:firstRow="0" w:lastRow="0" w:firstColumn="1" w:lastColumn="0" w:oddVBand="0" w:evenVBand="0" w:oddHBand="0" w:evenHBand="0" w:firstRowFirstColumn="0" w:firstRowLastColumn="0" w:lastRowFirstColumn="0" w:lastRowLastColumn="0"/>
            <w:tcW w:w="4786" w:type="dxa"/>
            <w:shd w:val="clear" w:color="auto" w:fill="DAEEF3" w:themeFill="accent5" w:themeFillTint="33"/>
            <w:vAlign w:val="center"/>
          </w:tcPr>
          <w:p w:rsidR="004715DB" w:rsidRPr="004715DB" w:rsidRDefault="004715DB" w:rsidP="004715DB">
            <w:pPr>
              <w:rPr>
                <w:rFonts w:ascii="Arial" w:eastAsiaTheme="minorHAnsi" w:hAnsi="Arial" w:cs="Arial"/>
                <w:color w:val="000000"/>
              </w:rPr>
            </w:pPr>
            <w:r w:rsidRPr="004715DB">
              <w:rPr>
                <w:rFonts w:ascii="Arial" w:eastAsiaTheme="minorHAnsi" w:hAnsi="Arial" w:cs="Arial"/>
                <w:color w:val="000000"/>
              </w:rPr>
              <w:t>Wholesale Trade</w:t>
            </w:r>
          </w:p>
        </w:tc>
        <w:tc>
          <w:tcPr>
            <w:tcW w:w="1559" w:type="dxa"/>
            <w:shd w:val="clear" w:color="auto" w:fill="DAEEF3" w:themeFill="accent5" w:themeFillTint="33"/>
            <w:noWrap/>
            <w:vAlign w:val="center"/>
          </w:tcPr>
          <w:p w:rsidR="004715DB" w:rsidRPr="004715DB" w:rsidRDefault="004715DB" w:rsidP="004715DB">
            <w:pPr>
              <w:ind w:left="360" w:hanging="326"/>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2.8%</w:t>
            </w:r>
          </w:p>
        </w:tc>
        <w:tc>
          <w:tcPr>
            <w:tcW w:w="1418" w:type="dxa"/>
            <w:shd w:val="clear" w:color="auto" w:fill="DAEEF3" w:themeFill="accent5" w:themeFillTint="33"/>
            <w:noWrap/>
            <w:vAlign w:val="center"/>
          </w:tcPr>
          <w:p w:rsidR="004715DB" w:rsidRPr="004715DB" w:rsidRDefault="004715DB" w:rsidP="004715DB">
            <w:pPr>
              <w:ind w:left="360" w:hanging="224"/>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highlight w:val="yellow"/>
              </w:rPr>
            </w:pPr>
            <w:r w:rsidRPr="004715DB">
              <w:rPr>
                <w:rFonts w:ascii="Arial" w:eastAsiaTheme="minorHAnsi" w:hAnsi="Arial" w:cs="Arial"/>
                <w:color w:val="000000"/>
              </w:rPr>
              <w:t>2.9%</w:t>
            </w:r>
          </w:p>
        </w:tc>
        <w:tc>
          <w:tcPr>
            <w:tcW w:w="1836" w:type="dxa"/>
            <w:shd w:val="clear" w:color="auto" w:fill="DAEEF3" w:themeFill="accent5" w:themeFillTint="33"/>
            <w:vAlign w:val="center"/>
          </w:tcPr>
          <w:p w:rsidR="004715DB" w:rsidRPr="004715DB" w:rsidRDefault="004715DB" w:rsidP="004715DB">
            <w:pPr>
              <w:ind w:left="360" w:hanging="333"/>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16.1%</w:t>
            </w:r>
          </w:p>
        </w:tc>
      </w:tr>
      <w:tr w:rsidR="004715DB" w:rsidRPr="004715DB" w:rsidTr="002E3D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shd w:val="clear" w:color="auto" w:fill="92CDDC" w:themeFill="accent5" w:themeFillTint="99"/>
            <w:vAlign w:val="center"/>
          </w:tcPr>
          <w:p w:rsidR="004715DB" w:rsidRPr="004715DB" w:rsidRDefault="004715DB" w:rsidP="004715DB">
            <w:pPr>
              <w:rPr>
                <w:rFonts w:ascii="Arial" w:eastAsiaTheme="minorHAnsi" w:hAnsi="Arial" w:cs="Arial"/>
                <w:color w:val="000000"/>
              </w:rPr>
            </w:pPr>
            <w:r w:rsidRPr="004715DB">
              <w:rPr>
                <w:rFonts w:ascii="Arial" w:eastAsiaTheme="minorHAnsi" w:hAnsi="Arial" w:cs="Arial"/>
                <w:color w:val="000000"/>
              </w:rPr>
              <w:t>Transport, Postal and Warehousing</w:t>
            </w:r>
          </w:p>
        </w:tc>
        <w:tc>
          <w:tcPr>
            <w:tcW w:w="1559" w:type="dxa"/>
            <w:shd w:val="clear" w:color="auto" w:fill="92CDDC" w:themeFill="accent5" w:themeFillTint="99"/>
            <w:noWrap/>
            <w:vAlign w:val="center"/>
          </w:tcPr>
          <w:p w:rsidR="004715DB" w:rsidRPr="004715DB" w:rsidRDefault="004715DB" w:rsidP="004715DB">
            <w:pPr>
              <w:ind w:left="360" w:hanging="326"/>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5.2%</w:t>
            </w:r>
          </w:p>
        </w:tc>
        <w:tc>
          <w:tcPr>
            <w:tcW w:w="1418" w:type="dxa"/>
            <w:shd w:val="clear" w:color="auto" w:fill="92CDDC" w:themeFill="accent5" w:themeFillTint="99"/>
            <w:noWrap/>
            <w:vAlign w:val="center"/>
          </w:tcPr>
          <w:p w:rsidR="004715DB" w:rsidRPr="004715DB" w:rsidRDefault="004715DB" w:rsidP="004715DB">
            <w:pPr>
              <w:ind w:left="360" w:hanging="224"/>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highlight w:val="yellow"/>
              </w:rPr>
            </w:pPr>
            <w:r w:rsidRPr="004715DB">
              <w:rPr>
                <w:rFonts w:ascii="Arial" w:eastAsiaTheme="minorHAnsi" w:hAnsi="Arial" w:cs="Arial"/>
                <w:color w:val="000000"/>
              </w:rPr>
              <w:t>5.1%</w:t>
            </w:r>
          </w:p>
        </w:tc>
        <w:tc>
          <w:tcPr>
            <w:tcW w:w="1836" w:type="dxa"/>
            <w:shd w:val="clear" w:color="auto" w:fill="92CDDC" w:themeFill="accent5" w:themeFillTint="99"/>
            <w:vAlign w:val="center"/>
          </w:tcPr>
          <w:p w:rsidR="004715DB" w:rsidRPr="004715DB" w:rsidRDefault="004715DB" w:rsidP="004715DB">
            <w:pPr>
              <w:ind w:left="360" w:hanging="333"/>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12.7%</w:t>
            </w:r>
          </w:p>
        </w:tc>
      </w:tr>
      <w:tr w:rsidR="004715DB" w:rsidRPr="004715DB" w:rsidTr="002E3D4E">
        <w:trPr>
          <w:trHeight w:val="255"/>
        </w:trPr>
        <w:tc>
          <w:tcPr>
            <w:cnfStyle w:val="001000000000" w:firstRow="0" w:lastRow="0" w:firstColumn="1" w:lastColumn="0" w:oddVBand="0" w:evenVBand="0" w:oddHBand="0" w:evenHBand="0" w:firstRowFirstColumn="0" w:firstRowLastColumn="0" w:lastRowFirstColumn="0" w:lastRowLastColumn="0"/>
            <w:tcW w:w="4786" w:type="dxa"/>
            <w:shd w:val="clear" w:color="auto" w:fill="DAEEF3" w:themeFill="accent5" w:themeFillTint="33"/>
            <w:vAlign w:val="center"/>
          </w:tcPr>
          <w:p w:rsidR="004715DB" w:rsidRPr="004715DB" w:rsidRDefault="004715DB" w:rsidP="004715DB">
            <w:pPr>
              <w:rPr>
                <w:rFonts w:ascii="Arial" w:eastAsiaTheme="minorHAnsi" w:hAnsi="Arial" w:cs="Arial"/>
                <w:color w:val="000000"/>
              </w:rPr>
            </w:pPr>
            <w:r w:rsidRPr="004715DB">
              <w:rPr>
                <w:rFonts w:ascii="Arial" w:eastAsiaTheme="minorHAnsi" w:hAnsi="Arial" w:cs="Arial"/>
                <w:color w:val="000000"/>
              </w:rPr>
              <w:t>Public Administration and Safety</w:t>
            </w:r>
          </w:p>
        </w:tc>
        <w:tc>
          <w:tcPr>
            <w:tcW w:w="1559" w:type="dxa"/>
            <w:shd w:val="clear" w:color="auto" w:fill="DAEEF3" w:themeFill="accent5" w:themeFillTint="33"/>
            <w:noWrap/>
            <w:vAlign w:val="center"/>
          </w:tcPr>
          <w:p w:rsidR="004715DB" w:rsidRPr="004715DB" w:rsidRDefault="004715DB" w:rsidP="004715DB">
            <w:pPr>
              <w:ind w:left="360" w:hanging="326"/>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6.4%</w:t>
            </w:r>
          </w:p>
        </w:tc>
        <w:tc>
          <w:tcPr>
            <w:tcW w:w="1418" w:type="dxa"/>
            <w:shd w:val="clear" w:color="auto" w:fill="DAEEF3" w:themeFill="accent5" w:themeFillTint="33"/>
            <w:noWrap/>
            <w:vAlign w:val="center"/>
          </w:tcPr>
          <w:p w:rsidR="004715DB" w:rsidRPr="004715DB" w:rsidRDefault="004715DB" w:rsidP="004715DB">
            <w:pPr>
              <w:ind w:left="360" w:hanging="224"/>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highlight w:val="yellow"/>
              </w:rPr>
            </w:pPr>
            <w:r w:rsidRPr="004715DB">
              <w:rPr>
                <w:rFonts w:ascii="Arial" w:eastAsiaTheme="minorHAnsi" w:hAnsi="Arial" w:cs="Arial"/>
                <w:color w:val="000000"/>
              </w:rPr>
              <w:t>6.4%</w:t>
            </w:r>
          </w:p>
        </w:tc>
        <w:tc>
          <w:tcPr>
            <w:tcW w:w="1836" w:type="dxa"/>
            <w:shd w:val="clear" w:color="auto" w:fill="DAEEF3" w:themeFill="accent5" w:themeFillTint="33"/>
            <w:vAlign w:val="center"/>
          </w:tcPr>
          <w:p w:rsidR="004715DB" w:rsidRPr="004715DB" w:rsidRDefault="004715DB" w:rsidP="004715DB">
            <w:pPr>
              <w:ind w:left="360" w:hanging="333"/>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10.9%</w:t>
            </w:r>
          </w:p>
        </w:tc>
      </w:tr>
      <w:tr w:rsidR="004715DB" w:rsidRPr="004715DB" w:rsidTr="002E3D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shd w:val="clear" w:color="auto" w:fill="92CDDC" w:themeFill="accent5" w:themeFillTint="99"/>
            <w:vAlign w:val="center"/>
          </w:tcPr>
          <w:p w:rsidR="004715DB" w:rsidRPr="004715DB" w:rsidRDefault="004715DB" w:rsidP="004715DB">
            <w:pPr>
              <w:rPr>
                <w:rFonts w:ascii="Arial" w:eastAsiaTheme="minorHAnsi" w:hAnsi="Arial" w:cs="Arial"/>
                <w:color w:val="000000"/>
              </w:rPr>
            </w:pPr>
            <w:r w:rsidRPr="004715DB">
              <w:rPr>
                <w:rFonts w:ascii="Arial" w:eastAsiaTheme="minorHAnsi" w:hAnsi="Arial" w:cs="Arial"/>
                <w:color w:val="000000"/>
              </w:rPr>
              <w:t>Education and Training</w:t>
            </w:r>
          </w:p>
        </w:tc>
        <w:tc>
          <w:tcPr>
            <w:tcW w:w="1559" w:type="dxa"/>
            <w:shd w:val="clear" w:color="auto" w:fill="92CDDC" w:themeFill="accent5" w:themeFillTint="99"/>
            <w:noWrap/>
            <w:vAlign w:val="center"/>
          </w:tcPr>
          <w:p w:rsidR="004715DB" w:rsidRPr="004715DB" w:rsidRDefault="004715DB" w:rsidP="004715DB">
            <w:pPr>
              <w:ind w:left="360" w:hanging="326"/>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8.1%</w:t>
            </w:r>
          </w:p>
        </w:tc>
        <w:tc>
          <w:tcPr>
            <w:tcW w:w="1418" w:type="dxa"/>
            <w:shd w:val="clear" w:color="auto" w:fill="92CDDC" w:themeFill="accent5" w:themeFillTint="99"/>
            <w:noWrap/>
            <w:vAlign w:val="center"/>
          </w:tcPr>
          <w:p w:rsidR="004715DB" w:rsidRPr="004715DB" w:rsidRDefault="004715DB" w:rsidP="004715DB">
            <w:pPr>
              <w:ind w:left="360" w:hanging="224"/>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highlight w:val="yellow"/>
              </w:rPr>
            </w:pPr>
            <w:r w:rsidRPr="004715DB">
              <w:rPr>
                <w:rFonts w:ascii="Arial" w:eastAsiaTheme="minorHAnsi" w:hAnsi="Arial" w:cs="Arial"/>
                <w:color w:val="000000"/>
              </w:rPr>
              <w:t>8.4%</w:t>
            </w:r>
          </w:p>
        </w:tc>
        <w:tc>
          <w:tcPr>
            <w:tcW w:w="1836" w:type="dxa"/>
            <w:shd w:val="clear" w:color="auto" w:fill="92CDDC" w:themeFill="accent5" w:themeFillTint="99"/>
            <w:vAlign w:val="center"/>
          </w:tcPr>
          <w:p w:rsidR="004715DB" w:rsidRPr="004715DB" w:rsidRDefault="004715DB" w:rsidP="004715DB">
            <w:pPr>
              <w:ind w:left="360" w:hanging="333"/>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10.0%</w:t>
            </w:r>
          </w:p>
        </w:tc>
      </w:tr>
      <w:tr w:rsidR="004715DB" w:rsidRPr="004715DB" w:rsidTr="002E3D4E">
        <w:trPr>
          <w:trHeight w:val="255"/>
        </w:trPr>
        <w:tc>
          <w:tcPr>
            <w:cnfStyle w:val="001000000000" w:firstRow="0" w:lastRow="0" w:firstColumn="1" w:lastColumn="0" w:oddVBand="0" w:evenVBand="0" w:oddHBand="0" w:evenHBand="0" w:firstRowFirstColumn="0" w:firstRowLastColumn="0" w:lastRowFirstColumn="0" w:lastRowLastColumn="0"/>
            <w:tcW w:w="4786" w:type="dxa"/>
            <w:shd w:val="clear" w:color="auto" w:fill="DAEEF3" w:themeFill="accent5" w:themeFillTint="33"/>
            <w:vAlign w:val="center"/>
          </w:tcPr>
          <w:p w:rsidR="004715DB" w:rsidRPr="004715DB" w:rsidRDefault="004715DB" w:rsidP="004715DB">
            <w:pPr>
              <w:rPr>
                <w:rFonts w:ascii="Arial" w:eastAsiaTheme="minorHAnsi" w:hAnsi="Arial" w:cs="Arial"/>
                <w:color w:val="000000"/>
              </w:rPr>
            </w:pPr>
            <w:r w:rsidRPr="004715DB">
              <w:rPr>
                <w:rFonts w:ascii="Arial" w:eastAsiaTheme="minorHAnsi" w:hAnsi="Arial" w:cs="Arial"/>
                <w:color w:val="000000"/>
              </w:rPr>
              <w:t>Professional, Scientific and Technical Services</w:t>
            </w:r>
          </w:p>
        </w:tc>
        <w:tc>
          <w:tcPr>
            <w:tcW w:w="1559" w:type="dxa"/>
            <w:shd w:val="clear" w:color="auto" w:fill="DAEEF3" w:themeFill="accent5" w:themeFillTint="33"/>
            <w:noWrap/>
            <w:vAlign w:val="center"/>
          </w:tcPr>
          <w:p w:rsidR="004715DB" w:rsidRPr="004715DB" w:rsidRDefault="004715DB" w:rsidP="004715DB">
            <w:pPr>
              <w:ind w:left="360" w:hanging="326"/>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8.1%</w:t>
            </w:r>
          </w:p>
        </w:tc>
        <w:tc>
          <w:tcPr>
            <w:tcW w:w="1418" w:type="dxa"/>
            <w:shd w:val="clear" w:color="auto" w:fill="DAEEF3" w:themeFill="accent5" w:themeFillTint="33"/>
            <w:noWrap/>
            <w:vAlign w:val="center"/>
          </w:tcPr>
          <w:p w:rsidR="004715DB" w:rsidRPr="004715DB" w:rsidRDefault="004715DB" w:rsidP="004715DB">
            <w:pPr>
              <w:ind w:left="360" w:hanging="224"/>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highlight w:val="yellow"/>
              </w:rPr>
            </w:pPr>
            <w:r w:rsidRPr="004715DB">
              <w:rPr>
                <w:rFonts w:ascii="Arial" w:eastAsiaTheme="minorHAnsi" w:hAnsi="Arial" w:cs="Arial"/>
                <w:color w:val="000000"/>
              </w:rPr>
              <w:t>8.8%</w:t>
            </w:r>
          </w:p>
        </w:tc>
        <w:tc>
          <w:tcPr>
            <w:tcW w:w="1836" w:type="dxa"/>
            <w:shd w:val="clear" w:color="auto" w:fill="DAEEF3" w:themeFill="accent5" w:themeFillTint="33"/>
            <w:vAlign w:val="center"/>
          </w:tcPr>
          <w:p w:rsidR="004715DB" w:rsidRPr="004715DB" w:rsidRDefault="004715DB" w:rsidP="004715DB">
            <w:pPr>
              <w:ind w:left="360" w:hanging="333"/>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8.0%</w:t>
            </w:r>
          </w:p>
        </w:tc>
      </w:tr>
      <w:tr w:rsidR="004715DB" w:rsidRPr="004715DB" w:rsidTr="002E3D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shd w:val="clear" w:color="auto" w:fill="92CDDC" w:themeFill="accent5" w:themeFillTint="99"/>
            <w:vAlign w:val="center"/>
          </w:tcPr>
          <w:p w:rsidR="004715DB" w:rsidRPr="004715DB" w:rsidRDefault="004715DB" w:rsidP="004715DB">
            <w:pPr>
              <w:rPr>
                <w:rFonts w:ascii="Arial" w:eastAsiaTheme="minorHAnsi" w:hAnsi="Arial" w:cs="Arial"/>
                <w:color w:val="000000"/>
              </w:rPr>
            </w:pPr>
            <w:r w:rsidRPr="004715DB">
              <w:rPr>
                <w:rFonts w:ascii="Arial" w:eastAsiaTheme="minorHAnsi" w:hAnsi="Arial" w:cs="Arial"/>
                <w:color w:val="000000"/>
              </w:rPr>
              <w:t>Information, Media and Telecommunications</w:t>
            </w:r>
          </w:p>
        </w:tc>
        <w:tc>
          <w:tcPr>
            <w:tcW w:w="1559" w:type="dxa"/>
            <w:shd w:val="clear" w:color="auto" w:fill="92CDDC" w:themeFill="accent5" w:themeFillTint="99"/>
            <w:noWrap/>
            <w:vAlign w:val="center"/>
          </w:tcPr>
          <w:p w:rsidR="004715DB" w:rsidRPr="004715DB" w:rsidRDefault="004715DB" w:rsidP="004715DB">
            <w:pPr>
              <w:ind w:left="360" w:hanging="326"/>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1.0%</w:t>
            </w:r>
          </w:p>
        </w:tc>
        <w:tc>
          <w:tcPr>
            <w:tcW w:w="1418" w:type="dxa"/>
            <w:shd w:val="clear" w:color="auto" w:fill="92CDDC" w:themeFill="accent5" w:themeFillTint="99"/>
            <w:noWrap/>
            <w:vAlign w:val="center"/>
          </w:tcPr>
          <w:p w:rsidR="004715DB" w:rsidRPr="004715DB" w:rsidRDefault="004715DB" w:rsidP="004715DB">
            <w:pPr>
              <w:ind w:left="360" w:hanging="224"/>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highlight w:val="yellow"/>
              </w:rPr>
            </w:pPr>
            <w:r w:rsidRPr="004715DB">
              <w:rPr>
                <w:rFonts w:ascii="Arial" w:eastAsiaTheme="minorHAnsi" w:hAnsi="Arial" w:cs="Arial"/>
                <w:color w:val="000000"/>
              </w:rPr>
              <w:t>1.6%</w:t>
            </w:r>
          </w:p>
        </w:tc>
        <w:tc>
          <w:tcPr>
            <w:tcW w:w="1836" w:type="dxa"/>
            <w:shd w:val="clear" w:color="auto" w:fill="92CDDC" w:themeFill="accent5" w:themeFillTint="99"/>
            <w:vAlign w:val="center"/>
          </w:tcPr>
          <w:p w:rsidR="004715DB" w:rsidRPr="004715DB" w:rsidRDefault="004715DB" w:rsidP="004715DB">
            <w:pPr>
              <w:ind w:left="360" w:hanging="333"/>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7.1%</w:t>
            </w:r>
          </w:p>
        </w:tc>
      </w:tr>
      <w:tr w:rsidR="004715DB" w:rsidRPr="004715DB" w:rsidTr="002E3D4E">
        <w:trPr>
          <w:trHeight w:val="255"/>
        </w:trPr>
        <w:tc>
          <w:tcPr>
            <w:cnfStyle w:val="001000000000" w:firstRow="0" w:lastRow="0" w:firstColumn="1" w:lastColumn="0" w:oddVBand="0" w:evenVBand="0" w:oddHBand="0" w:evenHBand="0" w:firstRowFirstColumn="0" w:firstRowLastColumn="0" w:lastRowFirstColumn="0" w:lastRowLastColumn="0"/>
            <w:tcW w:w="4786" w:type="dxa"/>
            <w:shd w:val="clear" w:color="auto" w:fill="DAEEF3" w:themeFill="accent5" w:themeFillTint="33"/>
            <w:vAlign w:val="center"/>
          </w:tcPr>
          <w:p w:rsidR="004715DB" w:rsidRPr="004715DB" w:rsidRDefault="004715DB" w:rsidP="004715DB">
            <w:pPr>
              <w:rPr>
                <w:rFonts w:ascii="Arial" w:eastAsiaTheme="minorHAnsi" w:hAnsi="Arial" w:cs="Arial"/>
                <w:color w:val="000000"/>
              </w:rPr>
            </w:pPr>
            <w:r w:rsidRPr="004715DB">
              <w:rPr>
                <w:rFonts w:ascii="Arial" w:eastAsiaTheme="minorHAnsi" w:hAnsi="Arial" w:cs="Arial"/>
                <w:color w:val="000000"/>
              </w:rPr>
              <w:t>Financial and Insurance Services</w:t>
            </w:r>
          </w:p>
        </w:tc>
        <w:tc>
          <w:tcPr>
            <w:tcW w:w="1559" w:type="dxa"/>
            <w:shd w:val="clear" w:color="auto" w:fill="DAEEF3" w:themeFill="accent5" w:themeFillTint="33"/>
            <w:noWrap/>
            <w:vAlign w:val="center"/>
          </w:tcPr>
          <w:p w:rsidR="004715DB" w:rsidRPr="004715DB" w:rsidRDefault="004715DB" w:rsidP="004715DB">
            <w:pPr>
              <w:ind w:left="360" w:hanging="326"/>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2.1%</w:t>
            </w:r>
          </w:p>
        </w:tc>
        <w:tc>
          <w:tcPr>
            <w:tcW w:w="1418" w:type="dxa"/>
            <w:shd w:val="clear" w:color="auto" w:fill="DAEEF3" w:themeFill="accent5" w:themeFillTint="33"/>
            <w:noWrap/>
            <w:vAlign w:val="center"/>
          </w:tcPr>
          <w:p w:rsidR="004715DB" w:rsidRPr="004715DB" w:rsidRDefault="004715DB" w:rsidP="004715DB">
            <w:pPr>
              <w:ind w:left="360" w:hanging="224"/>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highlight w:val="yellow"/>
              </w:rPr>
            </w:pPr>
            <w:r w:rsidRPr="004715DB">
              <w:rPr>
                <w:rFonts w:ascii="Arial" w:eastAsiaTheme="minorHAnsi" w:hAnsi="Arial" w:cs="Arial"/>
                <w:color w:val="000000"/>
              </w:rPr>
              <w:t>3.6%</w:t>
            </w:r>
          </w:p>
        </w:tc>
        <w:tc>
          <w:tcPr>
            <w:tcW w:w="1836" w:type="dxa"/>
            <w:shd w:val="clear" w:color="auto" w:fill="DAEEF3" w:themeFill="accent5" w:themeFillTint="33"/>
            <w:vAlign w:val="center"/>
          </w:tcPr>
          <w:p w:rsidR="004715DB" w:rsidRPr="004715DB" w:rsidRDefault="004715DB" w:rsidP="004715DB">
            <w:pPr>
              <w:ind w:left="360" w:hanging="333"/>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5.2%</w:t>
            </w:r>
          </w:p>
        </w:tc>
      </w:tr>
      <w:tr w:rsidR="004715DB" w:rsidRPr="004715DB" w:rsidTr="002E3D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shd w:val="clear" w:color="auto" w:fill="92CDDC" w:themeFill="accent5" w:themeFillTint="99"/>
            <w:vAlign w:val="center"/>
          </w:tcPr>
          <w:p w:rsidR="004715DB" w:rsidRPr="004715DB" w:rsidRDefault="004715DB" w:rsidP="004715DB">
            <w:pPr>
              <w:rPr>
                <w:rFonts w:ascii="Arial" w:eastAsiaTheme="minorHAnsi" w:hAnsi="Arial" w:cs="Arial"/>
                <w:color w:val="000000"/>
              </w:rPr>
            </w:pPr>
            <w:r w:rsidRPr="004715DB">
              <w:rPr>
                <w:rFonts w:ascii="Arial" w:eastAsiaTheme="minorHAnsi" w:hAnsi="Arial" w:cs="Arial"/>
                <w:color w:val="000000"/>
              </w:rPr>
              <w:t>Electricity, Gas, Water and Waste Services</w:t>
            </w:r>
          </w:p>
        </w:tc>
        <w:tc>
          <w:tcPr>
            <w:tcW w:w="1559" w:type="dxa"/>
            <w:shd w:val="clear" w:color="auto" w:fill="92CDDC" w:themeFill="accent5" w:themeFillTint="99"/>
            <w:noWrap/>
            <w:vAlign w:val="center"/>
          </w:tcPr>
          <w:p w:rsidR="004715DB" w:rsidRPr="004715DB" w:rsidRDefault="004715DB" w:rsidP="004715DB">
            <w:pPr>
              <w:ind w:left="360" w:hanging="326"/>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1.7%</w:t>
            </w:r>
          </w:p>
        </w:tc>
        <w:tc>
          <w:tcPr>
            <w:tcW w:w="1418" w:type="dxa"/>
            <w:shd w:val="clear" w:color="auto" w:fill="92CDDC" w:themeFill="accent5" w:themeFillTint="99"/>
            <w:noWrap/>
            <w:vAlign w:val="center"/>
          </w:tcPr>
          <w:p w:rsidR="004715DB" w:rsidRPr="004715DB" w:rsidRDefault="004715DB" w:rsidP="004715DB">
            <w:pPr>
              <w:ind w:left="360" w:hanging="224"/>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highlight w:val="yellow"/>
              </w:rPr>
            </w:pPr>
            <w:r w:rsidRPr="004715DB">
              <w:rPr>
                <w:rFonts w:ascii="Arial" w:eastAsiaTheme="minorHAnsi" w:hAnsi="Arial" w:cs="Arial"/>
                <w:color w:val="000000"/>
              </w:rPr>
              <w:t>1.2%</w:t>
            </w:r>
          </w:p>
        </w:tc>
        <w:tc>
          <w:tcPr>
            <w:tcW w:w="1836" w:type="dxa"/>
            <w:shd w:val="clear" w:color="auto" w:fill="92CDDC" w:themeFill="accent5" w:themeFillTint="99"/>
            <w:vAlign w:val="center"/>
          </w:tcPr>
          <w:p w:rsidR="004715DB" w:rsidRPr="004715DB" w:rsidRDefault="004715DB" w:rsidP="004715DB">
            <w:pPr>
              <w:ind w:left="360" w:hanging="333"/>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4.1%</w:t>
            </w:r>
          </w:p>
        </w:tc>
      </w:tr>
      <w:tr w:rsidR="004715DB" w:rsidRPr="004715DB" w:rsidTr="002E3D4E">
        <w:trPr>
          <w:trHeight w:val="255"/>
        </w:trPr>
        <w:tc>
          <w:tcPr>
            <w:cnfStyle w:val="001000000000" w:firstRow="0" w:lastRow="0" w:firstColumn="1" w:lastColumn="0" w:oddVBand="0" w:evenVBand="0" w:oddHBand="0" w:evenHBand="0" w:firstRowFirstColumn="0" w:firstRowLastColumn="0" w:lastRowFirstColumn="0" w:lastRowLastColumn="0"/>
            <w:tcW w:w="4786" w:type="dxa"/>
            <w:shd w:val="clear" w:color="auto" w:fill="DAEEF3" w:themeFill="accent5" w:themeFillTint="33"/>
            <w:vAlign w:val="center"/>
          </w:tcPr>
          <w:p w:rsidR="004715DB" w:rsidRPr="004715DB" w:rsidRDefault="004715DB" w:rsidP="004715DB">
            <w:pPr>
              <w:rPr>
                <w:rFonts w:ascii="Arial" w:eastAsiaTheme="minorHAnsi" w:hAnsi="Arial" w:cs="Arial"/>
                <w:color w:val="000000"/>
              </w:rPr>
            </w:pPr>
            <w:r w:rsidRPr="004715DB">
              <w:rPr>
                <w:rFonts w:ascii="Arial" w:eastAsiaTheme="minorHAnsi" w:hAnsi="Arial" w:cs="Arial"/>
                <w:color w:val="000000"/>
              </w:rPr>
              <w:t>Mining</w:t>
            </w:r>
          </w:p>
        </w:tc>
        <w:tc>
          <w:tcPr>
            <w:tcW w:w="1559" w:type="dxa"/>
            <w:shd w:val="clear" w:color="auto" w:fill="DAEEF3" w:themeFill="accent5" w:themeFillTint="33"/>
            <w:noWrap/>
            <w:vAlign w:val="center"/>
          </w:tcPr>
          <w:p w:rsidR="004715DB" w:rsidRPr="004715DB" w:rsidRDefault="004715DB" w:rsidP="004715DB">
            <w:pPr>
              <w:ind w:left="360" w:hanging="326"/>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8.7%</w:t>
            </w:r>
          </w:p>
        </w:tc>
        <w:tc>
          <w:tcPr>
            <w:tcW w:w="1418" w:type="dxa"/>
            <w:shd w:val="clear" w:color="auto" w:fill="DAEEF3" w:themeFill="accent5" w:themeFillTint="33"/>
            <w:noWrap/>
            <w:vAlign w:val="center"/>
          </w:tcPr>
          <w:p w:rsidR="004715DB" w:rsidRPr="004715DB" w:rsidRDefault="004715DB" w:rsidP="004715DB">
            <w:pPr>
              <w:ind w:left="360" w:hanging="224"/>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highlight w:val="yellow"/>
              </w:rPr>
            </w:pPr>
            <w:r w:rsidRPr="004715DB">
              <w:rPr>
                <w:rFonts w:ascii="Arial" w:eastAsiaTheme="minorHAnsi" w:hAnsi="Arial" w:cs="Arial"/>
                <w:color w:val="000000"/>
              </w:rPr>
              <w:t>1.9%</w:t>
            </w:r>
          </w:p>
        </w:tc>
        <w:tc>
          <w:tcPr>
            <w:tcW w:w="1836" w:type="dxa"/>
            <w:shd w:val="clear" w:color="auto" w:fill="DAEEF3" w:themeFill="accent5" w:themeFillTint="33"/>
            <w:vAlign w:val="center"/>
          </w:tcPr>
          <w:p w:rsidR="004715DB" w:rsidRPr="004715DB" w:rsidRDefault="004715DB" w:rsidP="004715DB">
            <w:pPr>
              <w:ind w:left="360" w:hanging="333"/>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0.9%</w:t>
            </w:r>
          </w:p>
        </w:tc>
      </w:tr>
      <w:tr w:rsidR="004715DB" w:rsidRPr="004715DB" w:rsidTr="002E3D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shd w:val="clear" w:color="auto" w:fill="92CDDC" w:themeFill="accent5" w:themeFillTint="99"/>
            <w:vAlign w:val="center"/>
          </w:tcPr>
          <w:p w:rsidR="004715DB" w:rsidRPr="004715DB" w:rsidRDefault="004715DB" w:rsidP="004715DB">
            <w:pPr>
              <w:rPr>
                <w:rFonts w:ascii="Arial" w:eastAsiaTheme="minorHAnsi" w:hAnsi="Arial" w:cs="Arial"/>
                <w:color w:val="000000"/>
              </w:rPr>
            </w:pPr>
            <w:r w:rsidRPr="004715DB">
              <w:rPr>
                <w:rFonts w:ascii="Arial" w:eastAsiaTheme="minorHAnsi" w:hAnsi="Arial" w:cs="Arial"/>
                <w:color w:val="000000"/>
              </w:rPr>
              <w:t>Agriculture, Forestry and Fishing</w:t>
            </w:r>
          </w:p>
        </w:tc>
        <w:tc>
          <w:tcPr>
            <w:tcW w:w="1559" w:type="dxa"/>
            <w:shd w:val="clear" w:color="auto" w:fill="92CDDC" w:themeFill="accent5" w:themeFillTint="99"/>
            <w:noWrap/>
            <w:vAlign w:val="center"/>
          </w:tcPr>
          <w:p w:rsidR="004715DB" w:rsidRPr="004715DB" w:rsidRDefault="004715DB" w:rsidP="004715DB">
            <w:pPr>
              <w:ind w:left="360" w:hanging="326"/>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2.5%</w:t>
            </w:r>
          </w:p>
        </w:tc>
        <w:tc>
          <w:tcPr>
            <w:tcW w:w="1418" w:type="dxa"/>
            <w:shd w:val="clear" w:color="auto" w:fill="92CDDC" w:themeFill="accent5" w:themeFillTint="99"/>
            <w:noWrap/>
            <w:vAlign w:val="center"/>
          </w:tcPr>
          <w:p w:rsidR="004715DB" w:rsidRPr="004715DB" w:rsidRDefault="004715DB" w:rsidP="004715DB">
            <w:pPr>
              <w:ind w:left="360" w:hanging="224"/>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highlight w:val="yellow"/>
              </w:rPr>
            </w:pPr>
            <w:r w:rsidRPr="004715DB">
              <w:rPr>
                <w:rFonts w:ascii="Arial" w:eastAsiaTheme="minorHAnsi" w:hAnsi="Arial" w:cs="Arial"/>
                <w:color w:val="000000"/>
              </w:rPr>
              <w:t>2.5%</w:t>
            </w:r>
          </w:p>
        </w:tc>
        <w:tc>
          <w:tcPr>
            <w:tcW w:w="1836" w:type="dxa"/>
            <w:shd w:val="clear" w:color="auto" w:fill="92CDDC" w:themeFill="accent5" w:themeFillTint="99"/>
            <w:vAlign w:val="center"/>
          </w:tcPr>
          <w:p w:rsidR="004715DB" w:rsidRPr="004715DB" w:rsidRDefault="004715DB" w:rsidP="004715DB">
            <w:pPr>
              <w:ind w:left="360" w:hanging="333"/>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4715DB">
              <w:rPr>
                <w:rFonts w:ascii="Arial" w:eastAsiaTheme="minorHAnsi" w:hAnsi="Arial" w:cs="Arial"/>
                <w:color w:val="000000"/>
              </w:rPr>
              <w:t>N/A</w:t>
            </w:r>
            <w:r w:rsidRPr="004715DB">
              <w:rPr>
                <w:rFonts w:eastAsiaTheme="minorHAnsi"/>
                <w:vertAlign w:val="superscript"/>
              </w:rPr>
              <w:sym w:font="Wingdings 2" w:char="F085"/>
            </w:r>
          </w:p>
        </w:tc>
      </w:tr>
      <w:tr w:rsidR="004715DB" w:rsidRPr="004715DB" w:rsidTr="002E3D4E">
        <w:trPr>
          <w:trHeight w:val="255"/>
        </w:trPr>
        <w:tc>
          <w:tcPr>
            <w:cnfStyle w:val="001000000000" w:firstRow="0" w:lastRow="0" w:firstColumn="1" w:lastColumn="0" w:oddVBand="0" w:evenVBand="0" w:oddHBand="0" w:evenHBand="0" w:firstRowFirstColumn="0" w:firstRowLastColumn="0" w:lastRowFirstColumn="0" w:lastRowLastColumn="0"/>
            <w:tcW w:w="4786" w:type="dxa"/>
            <w:shd w:val="clear" w:color="auto" w:fill="DAEEF3" w:themeFill="accent5" w:themeFillTint="33"/>
            <w:vAlign w:val="center"/>
          </w:tcPr>
          <w:p w:rsidR="004715DB" w:rsidRPr="004715DB" w:rsidRDefault="004715DB" w:rsidP="004715DB">
            <w:pPr>
              <w:rPr>
                <w:rFonts w:ascii="Arial" w:eastAsiaTheme="minorHAnsi" w:hAnsi="Arial" w:cs="Arial"/>
                <w:color w:val="000000"/>
              </w:rPr>
            </w:pPr>
            <w:r w:rsidRPr="004715DB">
              <w:rPr>
                <w:rFonts w:ascii="Arial" w:eastAsiaTheme="minorHAnsi" w:hAnsi="Arial" w:cs="Arial"/>
                <w:color w:val="000000"/>
              </w:rPr>
              <w:t>All industries</w:t>
            </w:r>
          </w:p>
        </w:tc>
        <w:tc>
          <w:tcPr>
            <w:tcW w:w="1559" w:type="dxa"/>
            <w:shd w:val="clear" w:color="auto" w:fill="DAEEF3" w:themeFill="accent5" w:themeFillTint="33"/>
            <w:noWrap/>
            <w:vAlign w:val="center"/>
          </w:tcPr>
          <w:p w:rsidR="004715DB" w:rsidRPr="004715DB" w:rsidRDefault="004715DB" w:rsidP="004715DB">
            <w:pPr>
              <w:ind w:left="360" w:hanging="326"/>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color w:val="000000"/>
              </w:rPr>
            </w:pPr>
            <w:r w:rsidRPr="004715DB">
              <w:rPr>
                <w:rFonts w:ascii="Arial" w:eastAsiaTheme="minorHAnsi" w:hAnsi="Arial" w:cs="Arial"/>
                <w:b/>
                <w:bCs/>
                <w:color w:val="000000"/>
              </w:rPr>
              <w:t>100.0%</w:t>
            </w:r>
          </w:p>
        </w:tc>
        <w:tc>
          <w:tcPr>
            <w:tcW w:w="1418" w:type="dxa"/>
            <w:shd w:val="clear" w:color="auto" w:fill="DAEEF3" w:themeFill="accent5" w:themeFillTint="33"/>
            <w:noWrap/>
            <w:vAlign w:val="center"/>
          </w:tcPr>
          <w:p w:rsidR="004715DB" w:rsidRPr="004715DB" w:rsidRDefault="004715DB" w:rsidP="004715DB">
            <w:pPr>
              <w:ind w:left="360" w:hanging="224"/>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color w:val="000000"/>
                <w:highlight w:val="yellow"/>
              </w:rPr>
            </w:pPr>
            <w:r w:rsidRPr="004715DB">
              <w:rPr>
                <w:rFonts w:ascii="Arial" w:eastAsiaTheme="minorHAnsi" w:hAnsi="Arial" w:cs="Arial"/>
                <w:b/>
                <w:bCs/>
                <w:color w:val="000000"/>
              </w:rPr>
              <w:t>100.0%</w:t>
            </w:r>
          </w:p>
        </w:tc>
        <w:tc>
          <w:tcPr>
            <w:tcW w:w="1836" w:type="dxa"/>
            <w:shd w:val="clear" w:color="auto" w:fill="DAEEF3" w:themeFill="accent5" w:themeFillTint="33"/>
            <w:vAlign w:val="center"/>
          </w:tcPr>
          <w:p w:rsidR="004715DB" w:rsidRPr="004715DB" w:rsidRDefault="004715DB" w:rsidP="004715DB">
            <w:pPr>
              <w:ind w:left="360" w:hanging="333"/>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color w:val="000000"/>
              </w:rPr>
            </w:pPr>
            <w:r w:rsidRPr="004715DB">
              <w:rPr>
                <w:rFonts w:ascii="Arial" w:eastAsiaTheme="minorHAnsi" w:hAnsi="Arial" w:cs="Arial"/>
                <w:b/>
                <w:color w:val="000000"/>
              </w:rPr>
              <w:t>22.5%</w:t>
            </w:r>
          </w:p>
        </w:tc>
      </w:tr>
    </w:tbl>
    <w:p w:rsidR="004715DB" w:rsidRPr="004715DB" w:rsidRDefault="004715DB" w:rsidP="004715DB">
      <w:pPr>
        <w:tabs>
          <w:tab w:val="num" w:pos="142"/>
        </w:tabs>
        <w:spacing w:line="240" w:lineRule="auto"/>
        <w:ind w:right="-654"/>
        <w:jc w:val="both"/>
        <w:rPr>
          <w:rFonts w:ascii="Arial" w:hAnsi="Arial" w:cs="Arial"/>
          <w:color w:val="000000"/>
          <w:sz w:val="16"/>
          <w:szCs w:val="16"/>
          <w:lang w:eastAsia="en-AU"/>
        </w:rPr>
      </w:pPr>
      <w:r w:rsidRPr="004715DB">
        <w:rPr>
          <w:rFonts w:ascii="Arial" w:eastAsiaTheme="minorHAnsi" w:hAnsi="Arial" w:cs="Arial"/>
          <w:sz w:val="16"/>
          <w:szCs w:val="16"/>
          <w:vertAlign w:val="superscript"/>
        </w:rPr>
        <w:sym w:font="Wingdings 2" w:char="F085"/>
      </w:r>
      <w:r w:rsidRPr="004715DB">
        <w:rPr>
          <w:rFonts w:ascii="Arial" w:eastAsiaTheme="minorHAnsi" w:hAnsi="Arial" w:cs="Arial"/>
          <w:sz w:val="16"/>
          <w:szCs w:val="16"/>
          <w:vertAlign w:val="superscript"/>
        </w:rPr>
        <w:t xml:space="preserve"> </w:t>
      </w:r>
      <w:r w:rsidRPr="004715DB">
        <w:rPr>
          <w:rFonts w:ascii="Arial" w:hAnsi="Arial" w:cs="Arial"/>
          <w:color w:val="000000"/>
          <w:sz w:val="16"/>
          <w:szCs w:val="16"/>
          <w:lang w:eastAsia="en-AU"/>
        </w:rPr>
        <w:t xml:space="preserve">N/A: Enterprises primarily engaged in agriculture, forestry and fishing are outside the scope of the ABS </w:t>
      </w:r>
      <w:r w:rsidRPr="004715DB">
        <w:rPr>
          <w:rFonts w:ascii="Arial" w:hAnsi="Arial" w:cs="Arial"/>
          <w:i/>
          <w:color w:val="000000"/>
          <w:sz w:val="16"/>
          <w:szCs w:val="16"/>
          <w:lang w:eastAsia="en-AU"/>
        </w:rPr>
        <w:t>Employee, Earnings and Hours</w:t>
      </w:r>
      <w:r w:rsidRPr="004715DB">
        <w:rPr>
          <w:rFonts w:ascii="Arial" w:hAnsi="Arial" w:cs="Arial"/>
          <w:color w:val="000000"/>
          <w:sz w:val="16"/>
          <w:szCs w:val="16"/>
          <w:lang w:eastAsia="en-AU"/>
        </w:rPr>
        <w:t xml:space="preserve"> survey from which this data is drawn. </w:t>
      </w:r>
    </w:p>
    <w:p w:rsidR="004715DB" w:rsidRPr="004715DB" w:rsidRDefault="004715DB" w:rsidP="004715DB">
      <w:pPr>
        <w:spacing w:after="200"/>
        <w:rPr>
          <w:rFonts w:eastAsiaTheme="minorHAnsi"/>
          <w:sz w:val="22"/>
          <w:szCs w:val="22"/>
        </w:rPr>
      </w:pPr>
    </w:p>
    <w:p w:rsidR="001C23DF" w:rsidRDefault="001C23DF">
      <w:pPr>
        <w:spacing w:after="200"/>
        <w:rPr>
          <w:rFonts w:ascii="Arial" w:hAnsi="Arial" w:cs="Arial"/>
          <w:b/>
          <w:color w:val="C00000"/>
          <w:lang w:val="en-US"/>
        </w:rPr>
      </w:pPr>
      <w:r>
        <w:rPr>
          <w:rFonts w:ascii="Arial" w:hAnsi="Arial" w:cs="Arial"/>
          <w:b/>
          <w:color w:val="C00000"/>
          <w:lang w:val="en-US"/>
        </w:rPr>
        <w:br w:type="page"/>
      </w:r>
    </w:p>
    <w:p w:rsidR="008B0C4E" w:rsidRPr="008B0C4E" w:rsidRDefault="008B0C4E" w:rsidP="00E26BBE">
      <w:pPr>
        <w:pBdr>
          <w:bottom w:val="single" w:sz="4" w:space="1" w:color="auto"/>
        </w:pBdr>
        <w:spacing w:after="240" w:line="240" w:lineRule="auto"/>
        <w:jc w:val="both"/>
        <w:rPr>
          <w:rFonts w:ascii="Arial" w:eastAsiaTheme="minorHAnsi" w:hAnsi="Arial" w:cs="Arial"/>
          <w:b/>
          <w:color w:val="C00000"/>
        </w:rPr>
      </w:pPr>
      <w:r w:rsidRPr="008B0C4E">
        <w:rPr>
          <w:rFonts w:ascii="Arial" w:hAnsi="Arial" w:cs="Arial"/>
          <w:b/>
          <w:color w:val="C00000"/>
          <w:lang w:val="en-US"/>
        </w:rPr>
        <w:lastRenderedPageBreak/>
        <w:t>Employees covered by enterprise agreements</w:t>
      </w:r>
      <w:r w:rsidRPr="008B0C4E">
        <w:rPr>
          <w:rFonts w:ascii="Arial" w:hAnsi="Arial" w:cs="Arial"/>
          <w:color w:val="C00000"/>
          <w:lang w:val="en-US"/>
        </w:rPr>
        <w:t xml:space="preserve"> </w:t>
      </w:r>
    </w:p>
    <w:p w:rsidR="008B0C4E" w:rsidRPr="00E72568" w:rsidRDefault="0048291F" w:rsidP="008B0C4E">
      <w:pPr>
        <w:numPr>
          <w:ilvl w:val="0"/>
          <w:numId w:val="25"/>
        </w:numPr>
        <w:spacing w:after="240" w:line="240" w:lineRule="auto"/>
        <w:ind w:left="567" w:hanging="567"/>
        <w:jc w:val="both"/>
        <w:rPr>
          <w:rFonts w:ascii="Arial" w:hAnsi="Arial" w:cs="Arial"/>
          <w:lang w:val="en-US"/>
        </w:rPr>
      </w:pPr>
      <w:r>
        <w:rPr>
          <w:rFonts w:ascii="Arial" w:hAnsi="Arial" w:cs="Arial"/>
          <w:lang w:val="en-US"/>
        </w:rPr>
        <w:t xml:space="preserve">Until recently, </w:t>
      </w:r>
      <w:r w:rsidR="008B0C4E" w:rsidRPr="00FE3BE1">
        <w:rPr>
          <w:rFonts w:ascii="Arial" w:hAnsi="Arial" w:cs="Arial"/>
          <w:lang w:val="en-US"/>
        </w:rPr>
        <w:t>the number and proportion of employees subject to federal enterprise agreements ha</w:t>
      </w:r>
      <w:r w:rsidR="004C5DAB">
        <w:rPr>
          <w:rFonts w:ascii="Arial" w:hAnsi="Arial" w:cs="Arial"/>
          <w:lang w:val="en-US"/>
        </w:rPr>
        <w:t>d</w:t>
      </w:r>
      <w:r w:rsidR="008B0C4E" w:rsidRPr="00FE3BE1">
        <w:rPr>
          <w:rFonts w:ascii="Arial" w:hAnsi="Arial" w:cs="Arial"/>
          <w:lang w:val="en-US"/>
        </w:rPr>
        <w:t xml:space="preserve"> been declining.</w:t>
      </w:r>
      <w:r>
        <w:rPr>
          <w:rFonts w:ascii="Arial" w:hAnsi="Arial" w:cs="Arial"/>
          <w:lang w:val="en-US"/>
        </w:rPr>
        <w:t xml:space="preserve"> However, </w:t>
      </w:r>
      <w:r w:rsidR="003E034F">
        <w:rPr>
          <w:rFonts w:ascii="Arial" w:hAnsi="Arial" w:cs="Arial"/>
          <w:lang w:val="en-US"/>
        </w:rPr>
        <w:t xml:space="preserve">while the number of </w:t>
      </w:r>
      <w:r w:rsidR="00E53B39">
        <w:rPr>
          <w:rFonts w:ascii="Arial" w:hAnsi="Arial" w:cs="Arial"/>
          <w:lang w:val="en-US"/>
        </w:rPr>
        <w:t xml:space="preserve">current </w:t>
      </w:r>
      <w:r w:rsidR="003E034F">
        <w:rPr>
          <w:rFonts w:ascii="Arial" w:hAnsi="Arial" w:cs="Arial"/>
          <w:lang w:val="en-US"/>
        </w:rPr>
        <w:t xml:space="preserve">agreements </w:t>
      </w:r>
      <w:r w:rsidR="00E53B39">
        <w:rPr>
          <w:rFonts w:ascii="Arial" w:hAnsi="Arial" w:cs="Arial"/>
          <w:lang w:val="en-US"/>
        </w:rPr>
        <w:t xml:space="preserve">in place remains lower than it was a few years ago, the number of employees </w:t>
      </w:r>
      <w:r w:rsidR="00E53B39" w:rsidRPr="00E72568">
        <w:rPr>
          <w:rFonts w:ascii="Arial" w:hAnsi="Arial" w:cs="Arial"/>
          <w:lang w:val="en-US"/>
        </w:rPr>
        <w:t xml:space="preserve">covered by such agreements appears to </w:t>
      </w:r>
      <w:r w:rsidR="009E605B" w:rsidRPr="00E72568">
        <w:rPr>
          <w:rFonts w:ascii="Arial" w:hAnsi="Arial" w:cs="Arial"/>
          <w:lang w:val="en-US"/>
        </w:rPr>
        <w:t xml:space="preserve">have </w:t>
      </w:r>
      <w:r w:rsidR="00E53B39" w:rsidRPr="00E72568">
        <w:rPr>
          <w:rFonts w:ascii="Arial" w:hAnsi="Arial" w:cs="Arial"/>
          <w:lang w:val="en-US"/>
        </w:rPr>
        <w:t xml:space="preserve">recovered. </w:t>
      </w:r>
      <w:r w:rsidRPr="00E72568">
        <w:rPr>
          <w:rFonts w:ascii="Arial" w:hAnsi="Arial" w:cs="Arial"/>
          <w:lang w:val="en-US"/>
        </w:rPr>
        <w:t xml:space="preserve">  </w:t>
      </w:r>
      <w:r w:rsidR="008B0C4E" w:rsidRPr="00E72568">
        <w:rPr>
          <w:rFonts w:ascii="Arial" w:hAnsi="Arial" w:cs="Arial"/>
          <w:lang w:val="en-US"/>
        </w:rPr>
        <w:t xml:space="preserve">  </w:t>
      </w:r>
    </w:p>
    <w:p w:rsidR="008B0C4E" w:rsidRPr="00E72568" w:rsidRDefault="00FC3AB0" w:rsidP="008B0C4E">
      <w:pPr>
        <w:numPr>
          <w:ilvl w:val="0"/>
          <w:numId w:val="25"/>
        </w:numPr>
        <w:spacing w:after="240" w:line="240" w:lineRule="auto"/>
        <w:ind w:left="567" w:hanging="567"/>
        <w:jc w:val="both"/>
        <w:rPr>
          <w:rFonts w:ascii="Arial" w:hAnsi="Arial" w:cs="Arial"/>
          <w:lang w:val="en-US"/>
        </w:rPr>
      </w:pPr>
      <w:r>
        <w:rPr>
          <w:rFonts w:ascii="Arial" w:hAnsi="Arial" w:cs="Arial"/>
          <w:lang w:val="en-US"/>
        </w:rPr>
        <w:t xml:space="preserve">As shown in </w:t>
      </w:r>
      <w:r w:rsidR="00854C85">
        <w:rPr>
          <w:rFonts w:ascii="Arial" w:hAnsi="Arial" w:cs="Arial"/>
          <w:lang w:val="en-US"/>
        </w:rPr>
        <w:t>F</w:t>
      </w:r>
      <w:r>
        <w:rPr>
          <w:rFonts w:ascii="Arial" w:hAnsi="Arial" w:cs="Arial"/>
          <w:lang w:val="en-US"/>
        </w:rPr>
        <w:t xml:space="preserve">igure 1 below, data </w:t>
      </w:r>
      <w:r w:rsidR="007E0A00" w:rsidRPr="00E72568">
        <w:rPr>
          <w:rFonts w:ascii="Arial" w:hAnsi="Arial" w:cs="Arial"/>
          <w:lang w:val="en-US"/>
        </w:rPr>
        <w:t xml:space="preserve">from the </w:t>
      </w:r>
      <w:r w:rsidR="008B0C4E" w:rsidRPr="00E72568">
        <w:rPr>
          <w:rFonts w:ascii="Arial" w:hAnsi="Arial" w:cs="Arial"/>
          <w:lang w:val="en-US"/>
        </w:rPr>
        <w:t xml:space="preserve">Commonwealth </w:t>
      </w:r>
      <w:r w:rsidR="00FE3BE1" w:rsidRPr="00E72568">
        <w:rPr>
          <w:rFonts w:ascii="Arial" w:hAnsi="Arial" w:cs="Arial"/>
          <w:lang w:val="en-US"/>
        </w:rPr>
        <w:t xml:space="preserve">Attorney General’s </w:t>
      </w:r>
      <w:r w:rsidR="008B0C4E" w:rsidRPr="00E72568">
        <w:rPr>
          <w:rFonts w:ascii="Arial" w:hAnsi="Arial" w:cs="Arial"/>
          <w:lang w:val="en-US"/>
        </w:rPr>
        <w:t xml:space="preserve">Department </w:t>
      </w:r>
      <w:r w:rsidR="007E0A00" w:rsidRPr="00E72568">
        <w:rPr>
          <w:rFonts w:ascii="Arial" w:hAnsi="Arial" w:cs="Arial"/>
          <w:lang w:val="en-US"/>
        </w:rPr>
        <w:t>indicate</w:t>
      </w:r>
      <w:r>
        <w:rPr>
          <w:rFonts w:ascii="Arial" w:hAnsi="Arial" w:cs="Arial"/>
          <w:lang w:val="en-US"/>
        </w:rPr>
        <w:t>s</w:t>
      </w:r>
      <w:r w:rsidR="007E0A00" w:rsidRPr="00E72568">
        <w:rPr>
          <w:rFonts w:ascii="Arial" w:hAnsi="Arial" w:cs="Arial"/>
          <w:lang w:val="en-US"/>
        </w:rPr>
        <w:t xml:space="preserve"> </w:t>
      </w:r>
      <w:r w:rsidR="008B0C4E" w:rsidRPr="00E72568">
        <w:rPr>
          <w:rFonts w:ascii="Arial" w:hAnsi="Arial" w:cs="Arial"/>
          <w:lang w:val="en-US"/>
        </w:rPr>
        <w:t>the number of current federal enterprise agreements in place declined from 1</w:t>
      </w:r>
      <w:r w:rsidR="0048291F" w:rsidRPr="00E72568">
        <w:rPr>
          <w:rFonts w:ascii="Arial" w:hAnsi="Arial" w:cs="Arial"/>
          <w:lang w:val="en-US"/>
        </w:rPr>
        <w:t>4</w:t>
      </w:r>
      <w:r w:rsidR="008B0C4E" w:rsidRPr="00E72568">
        <w:rPr>
          <w:rFonts w:ascii="Arial" w:hAnsi="Arial" w:cs="Arial"/>
          <w:lang w:val="en-US"/>
        </w:rPr>
        <w:t>,</w:t>
      </w:r>
      <w:r w:rsidR="00E72568" w:rsidRPr="00E72568">
        <w:rPr>
          <w:rFonts w:ascii="Arial" w:hAnsi="Arial" w:cs="Arial"/>
          <w:lang w:val="en-US"/>
        </w:rPr>
        <w:t>224</w:t>
      </w:r>
      <w:r w:rsidR="008B0C4E" w:rsidRPr="00E72568">
        <w:rPr>
          <w:rFonts w:ascii="Arial" w:hAnsi="Arial" w:cs="Arial"/>
          <w:lang w:val="en-US"/>
        </w:rPr>
        <w:t xml:space="preserve"> </w:t>
      </w:r>
      <w:r w:rsidR="0048291F" w:rsidRPr="00E72568">
        <w:rPr>
          <w:rFonts w:ascii="Arial" w:hAnsi="Arial" w:cs="Arial"/>
          <w:lang w:val="en-US"/>
        </w:rPr>
        <w:t xml:space="preserve">in </w:t>
      </w:r>
      <w:r w:rsidR="00E72568" w:rsidRPr="00E72568">
        <w:rPr>
          <w:rFonts w:ascii="Arial" w:hAnsi="Arial" w:cs="Arial"/>
          <w:lang w:val="en-US"/>
        </w:rPr>
        <w:t xml:space="preserve">September </w:t>
      </w:r>
      <w:r w:rsidR="0048291F" w:rsidRPr="00E72568">
        <w:rPr>
          <w:rFonts w:ascii="Arial" w:hAnsi="Arial" w:cs="Arial"/>
          <w:lang w:val="en-US"/>
        </w:rPr>
        <w:t>201</w:t>
      </w:r>
      <w:r w:rsidR="00E72568" w:rsidRPr="00E72568">
        <w:rPr>
          <w:rFonts w:ascii="Arial" w:hAnsi="Arial" w:cs="Arial"/>
          <w:lang w:val="en-US"/>
        </w:rPr>
        <w:t>6</w:t>
      </w:r>
      <w:r w:rsidR="0048291F" w:rsidRPr="00E72568">
        <w:rPr>
          <w:rFonts w:ascii="Arial" w:hAnsi="Arial" w:cs="Arial"/>
          <w:lang w:val="en-US"/>
        </w:rPr>
        <w:t xml:space="preserve"> to 1</w:t>
      </w:r>
      <w:r w:rsidR="00E72568" w:rsidRPr="00E72568">
        <w:rPr>
          <w:rFonts w:ascii="Arial" w:hAnsi="Arial" w:cs="Arial"/>
          <w:lang w:val="en-US"/>
        </w:rPr>
        <w:t>0</w:t>
      </w:r>
      <w:r w:rsidR="008B0C4E" w:rsidRPr="00E72568">
        <w:rPr>
          <w:rFonts w:ascii="Arial" w:hAnsi="Arial" w:cs="Arial"/>
          <w:lang w:val="en-US"/>
        </w:rPr>
        <w:t>,</w:t>
      </w:r>
      <w:r w:rsidR="00E72568" w:rsidRPr="00E72568">
        <w:rPr>
          <w:rFonts w:ascii="Arial" w:hAnsi="Arial" w:cs="Arial"/>
          <w:lang w:val="en-US"/>
        </w:rPr>
        <w:t>877</w:t>
      </w:r>
      <w:r w:rsidR="008B0C4E" w:rsidRPr="00E72568">
        <w:rPr>
          <w:rFonts w:ascii="Arial" w:hAnsi="Arial" w:cs="Arial"/>
          <w:lang w:val="en-US"/>
        </w:rPr>
        <w:t xml:space="preserve"> </w:t>
      </w:r>
      <w:r w:rsidR="0048291F" w:rsidRPr="00E72568">
        <w:rPr>
          <w:rFonts w:ascii="Arial" w:hAnsi="Arial" w:cs="Arial"/>
          <w:lang w:val="en-US"/>
        </w:rPr>
        <w:t xml:space="preserve">in </w:t>
      </w:r>
      <w:r w:rsidR="00E72568" w:rsidRPr="00E72568">
        <w:rPr>
          <w:rFonts w:ascii="Arial" w:hAnsi="Arial" w:cs="Arial"/>
          <w:lang w:val="en-US"/>
        </w:rPr>
        <w:t>September</w:t>
      </w:r>
      <w:r w:rsidR="0048291F" w:rsidRPr="00E72568">
        <w:rPr>
          <w:rFonts w:ascii="Arial" w:hAnsi="Arial" w:cs="Arial"/>
          <w:lang w:val="en-US"/>
        </w:rPr>
        <w:t xml:space="preserve"> </w:t>
      </w:r>
      <w:r w:rsidR="008B0C4E" w:rsidRPr="00E72568">
        <w:rPr>
          <w:rFonts w:ascii="Arial" w:hAnsi="Arial" w:cs="Arial"/>
          <w:lang w:val="en-US"/>
        </w:rPr>
        <w:t>201</w:t>
      </w:r>
      <w:r w:rsidR="0048291F" w:rsidRPr="00E72568">
        <w:rPr>
          <w:rFonts w:ascii="Arial" w:hAnsi="Arial" w:cs="Arial"/>
          <w:lang w:val="en-US"/>
        </w:rPr>
        <w:t>9</w:t>
      </w:r>
      <w:r w:rsidR="008B0C4E" w:rsidRPr="00E72568">
        <w:rPr>
          <w:rFonts w:ascii="Arial" w:hAnsi="Arial" w:cs="Arial"/>
          <w:lang w:val="en-US"/>
        </w:rPr>
        <w:t xml:space="preserve">. </w:t>
      </w:r>
      <w:r w:rsidR="0048291F" w:rsidRPr="00E72568">
        <w:rPr>
          <w:rFonts w:ascii="Arial" w:hAnsi="Arial" w:cs="Arial"/>
          <w:lang w:val="en-US"/>
        </w:rPr>
        <w:t xml:space="preserve">However, the total number of employees covered by </w:t>
      </w:r>
      <w:r w:rsidR="00E53B39" w:rsidRPr="00E72568">
        <w:rPr>
          <w:rFonts w:ascii="Arial" w:hAnsi="Arial" w:cs="Arial"/>
          <w:lang w:val="en-US"/>
        </w:rPr>
        <w:t xml:space="preserve">these agreements has risen </w:t>
      </w:r>
      <w:r w:rsidR="009E605B" w:rsidRPr="00E72568">
        <w:rPr>
          <w:rFonts w:ascii="Arial" w:hAnsi="Arial" w:cs="Arial"/>
          <w:lang w:val="en-US"/>
        </w:rPr>
        <w:t>marginally</w:t>
      </w:r>
      <w:r w:rsidR="00E53B39" w:rsidRPr="00E72568">
        <w:rPr>
          <w:rFonts w:ascii="Arial" w:hAnsi="Arial" w:cs="Arial"/>
          <w:lang w:val="en-US"/>
        </w:rPr>
        <w:t xml:space="preserve"> over the same period, from </w:t>
      </w:r>
      <w:r w:rsidR="00E72568" w:rsidRPr="00E72568">
        <w:rPr>
          <w:rFonts w:ascii="Arial" w:hAnsi="Arial" w:cs="Arial"/>
          <w:lang w:val="en-US"/>
        </w:rPr>
        <w:t>1,990,1</w:t>
      </w:r>
      <w:r w:rsidR="008B0C4E" w:rsidRPr="00E72568">
        <w:rPr>
          <w:rFonts w:ascii="Arial" w:hAnsi="Arial" w:cs="Arial"/>
          <w:lang w:val="en-US"/>
        </w:rPr>
        <w:t xml:space="preserve">00 to </w:t>
      </w:r>
      <w:r w:rsidR="00E53B39" w:rsidRPr="00E72568">
        <w:rPr>
          <w:rFonts w:ascii="Arial" w:hAnsi="Arial" w:cs="Arial"/>
          <w:lang w:val="en-US"/>
        </w:rPr>
        <w:t>2</w:t>
      </w:r>
      <w:r w:rsidR="008B0C4E" w:rsidRPr="00E72568">
        <w:rPr>
          <w:rFonts w:ascii="Arial" w:hAnsi="Arial" w:cs="Arial"/>
          <w:lang w:val="en-US"/>
        </w:rPr>
        <w:t>,</w:t>
      </w:r>
      <w:r w:rsidR="00E53B39" w:rsidRPr="00E72568">
        <w:rPr>
          <w:rFonts w:ascii="Arial" w:hAnsi="Arial" w:cs="Arial"/>
          <w:lang w:val="en-US"/>
        </w:rPr>
        <w:t>1</w:t>
      </w:r>
      <w:r w:rsidR="00E72568" w:rsidRPr="00E72568">
        <w:rPr>
          <w:rFonts w:ascii="Arial" w:hAnsi="Arial" w:cs="Arial"/>
          <w:lang w:val="en-US"/>
        </w:rPr>
        <w:t>60</w:t>
      </w:r>
      <w:r w:rsidR="008B0C4E" w:rsidRPr="00E72568">
        <w:rPr>
          <w:rFonts w:ascii="Arial" w:hAnsi="Arial" w:cs="Arial"/>
          <w:lang w:val="en-US"/>
        </w:rPr>
        <w:t>,</w:t>
      </w:r>
      <w:r w:rsidR="00E72568" w:rsidRPr="00E72568">
        <w:rPr>
          <w:rFonts w:ascii="Arial" w:hAnsi="Arial" w:cs="Arial"/>
          <w:lang w:val="en-US"/>
        </w:rPr>
        <w:t>4</w:t>
      </w:r>
      <w:r w:rsidR="008B0C4E" w:rsidRPr="00E72568">
        <w:rPr>
          <w:rFonts w:ascii="Arial" w:hAnsi="Arial" w:cs="Arial"/>
          <w:lang w:val="en-US"/>
        </w:rPr>
        <w:t>00.</w:t>
      </w:r>
      <w:r w:rsidR="008B0C4E" w:rsidRPr="00E72568">
        <w:rPr>
          <w:rFonts w:ascii="Arial" w:hAnsi="Arial" w:cs="Arial"/>
          <w:vertAlign w:val="superscript"/>
          <w:lang w:val="en-US"/>
        </w:rPr>
        <w:footnoteReference w:id="18"/>
      </w:r>
      <w:r w:rsidR="008B0C4E" w:rsidRPr="00E72568">
        <w:rPr>
          <w:rFonts w:ascii="Arial" w:hAnsi="Arial" w:cs="Arial"/>
          <w:lang w:val="en-US"/>
        </w:rPr>
        <w:t xml:space="preserve"> </w:t>
      </w:r>
      <w:r w:rsidR="00E53B39" w:rsidRPr="00E72568">
        <w:rPr>
          <w:rFonts w:ascii="Arial" w:hAnsi="Arial" w:cs="Arial"/>
          <w:lang w:val="en-US"/>
        </w:rPr>
        <w:t xml:space="preserve">This is perhaps not surprising, given several </w:t>
      </w:r>
      <w:r w:rsidR="000D1BDA" w:rsidRPr="00E72568">
        <w:rPr>
          <w:rFonts w:ascii="Arial" w:hAnsi="Arial" w:cs="Arial"/>
          <w:lang w:val="en-US"/>
        </w:rPr>
        <w:t xml:space="preserve">very </w:t>
      </w:r>
      <w:r w:rsidR="00E53B39" w:rsidRPr="00E72568">
        <w:rPr>
          <w:rFonts w:ascii="Arial" w:hAnsi="Arial" w:cs="Arial"/>
          <w:lang w:val="en-US"/>
        </w:rPr>
        <w:t xml:space="preserve">large </w:t>
      </w:r>
      <w:r w:rsidR="009E605B" w:rsidRPr="00E72568">
        <w:rPr>
          <w:rFonts w:ascii="Arial" w:hAnsi="Arial" w:cs="Arial"/>
          <w:lang w:val="en-US"/>
        </w:rPr>
        <w:t xml:space="preserve">retail </w:t>
      </w:r>
      <w:r w:rsidR="00E53B39" w:rsidRPr="00E72568">
        <w:rPr>
          <w:rFonts w:ascii="Arial" w:hAnsi="Arial" w:cs="Arial"/>
          <w:lang w:val="en-US"/>
        </w:rPr>
        <w:t xml:space="preserve">agreements </w:t>
      </w:r>
      <w:r w:rsidR="003360F9" w:rsidRPr="00E72568">
        <w:rPr>
          <w:rFonts w:ascii="Arial" w:hAnsi="Arial" w:cs="Arial"/>
          <w:lang w:val="en-US"/>
        </w:rPr>
        <w:t>that had passed the</w:t>
      </w:r>
      <w:r w:rsidR="004B17CF" w:rsidRPr="00E72568">
        <w:rPr>
          <w:rFonts w:ascii="Arial" w:hAnsi="Arial" w:cs="Arial"/>
          <w:lang w:val="en-US"/>
        </w:rPr>
        <w:t>ir</w:t>
      </w:r>
      <w:r w:rsidR="003360F9" w:rsidRPr="00E72568">
        <w:rPr>
          <w:rFonts w:ascii="Arial" w:hAnsi="Arial" w:cs="Arial"/>
          <w:lang w:val="en-US"/>
        </w:rPr>
        <w:t xml:space="preserve"> nominal expiry date ha</w:t>
      </w:r>
      <w:r w:rsidR="000D1BDA" w:rsidRPr="00E72568">
        <w:rPr>
          <w:rFonts w:ascii="Arial" w:hAnsi="Arial" w:cs="Arial"/>
          <w:lang w:val="en-US"/>
        </w:rPr>
        <w:t xml:space="preserve">ve been </w:t>
      </w:r>
      <w:r w:rsidR="00E53B39" w:rsidRPr="00E72568">
        <w:rPr>
          <w:rFonts w:ascii="Arial" w:hAnsi="Arial" w:cs="Arial"/>
          <w:lang w:val="en-US"/>
        </w:rPr>
        <w:t>re-negot</w:t>
      </w:r>
      <w:r w:rsidR="003360F9" w:rsidRPr="00E72568">
        <w:rPr>
          <w:rFonts w:ascii="Arial" w:hAnsi="Arial" w:cs="Arial"/>
          <w:lang w:val="en-US"/>
        </w:rPr>
        <w:t>iated in the last two years.</w:t>
      </w:r>
      <w:r w:rsidR="00BC4605" w:rsidRPr="00E72568">
        <w:rPr>
          <w:rFonts w:ascii="Arial" w:hAnsi="Arial" w:cs="Arial"/>
          <w:lang w:val="en-US"/>
        </w:rPr>
        <w:t xml:space="preserve"> </w:t>
      </w:r>
    </w:p>
    <w:p w:rsidR="009E605B" w:rsidRDefault="009E605B" w:rsidP="009E605B">
      <w:pPr>
        <w:spacing w:after="240" w:line="240" w:lineRule="auto"/>
        <w:ind w:left="567"/>
        <w:jc w:val="both"/>
        <w:rPr>
          <w:rFonts w:ascii="Arial" w:hAnsi="Arial" w:cs="Arial"/>
          <w:lang w:val="en-US"/>
        </w:rPr>
      </w:pPr>
    </w:p>
    <w:p w:rsidR="007E0A00" w:rsidRPr="00D20BCA" w:rsidRDefault="00D20BCA" w:rsidP="006029B2">
      <w:pPr>
        <w:spacing w:line="240" w:lineRule="auto"/>
        <w:ind w:left="567"/>
        <w:jc w:val="center"/>
        <w:rPr>
          <w:rFonts w:ascii="Arial" w:hAnsi="Arial" w:cs="Arial"/>
          <w:b/>
          <w:sz w:val="20"/>
          <w:szCs w:val="20"/>
          <w:lang w:val="en-US"/>
        </w:rPr>
      </w:pPr>
      <w:r w:rsidRPr="00D20BCA">
        <w:rPr>
          <w:rFonts w:ascii="Arial" w:hAnsi="Arial" w:cs="Arial"/>
          <w:b/>
          <w:sz w:val="20"/>
          <w:szCs w:val="20"/>
          <w:lang w:val="en-US"/>
        </w:rPr>
        <w:t xml:space="preserve">Figure 1: </w:t>
      </w:r>
      <w:r w:rsidR="00EB4BE2">
        <w:rPr>
          <w:rFonts w:ascii="Arial" w:hAnsi="Arial" w:cs="Arial"/>
          <w:b/>
          <w:sz w:val="20"/>
          <w:szCs w:val="20"/>
          <w:lang w:val="en-US"/>
        </w:rPr>
        <w:t xml:space="preserve">Current </w:t>
      </w:r>
      <w:r w:rsidRPr="00D20BCA">
        <w:rPr>
          <w:rFonts w:ascii="Arial" w:hAnsi="Arial" w:cs="Arial"/>
          <w:b/>
          <w:sz w:val="20"/>
          <w:szCs w:val="20"/>
          <w:lang w:val="en-US"/>
        </w:rPr>
        <w:t>federal enterprise agreements</w:t>
      </w:r>
      <w:r w:rsidR="009E605B">
        <w:rPr>
          <w:rFonts w:ascii="Arial" w:hAnsi="Arial" w:cs="Arial"/>
          <w:b/>
          <w:sz w:val="20"/>
          <w:szCs w:val="20"/>
          <w:lang w:val="en-US"/>
        </w:rPr>
        <w:t xml:space="preserve"> </w:t>
      </w:r>
      <w:r w:rsidR="00EB4BE2">
        <w:rPr>
          <w:rFonts w:ascii="Arial" w:hAnsi="Arial" w:cs="Arial"/>
          <w:b/>
          <w:sz w:val="20"/>
          <w:szCs w:val="20"/>
          <w:lang w:val="en-US"/>
        </w:rPr>
        <w:t>in</w:t>
      </w:r>
      <w:r w:rsidR="009E605B">
        <w:rPr>
          <w:rFonts w:ascii="Arial" w:hAnsi="Arial" w:cs="Arial"/>
          <w:b/>
          <w:sz w:val="20"/>
          <w:szCs w:val="20"/>
          <w:lang w:val="en-US"/>
        </w:rPr>
        <w:t xml:space="preserve"> Australia</w:t>
      </w:r>
      <w:r w:rsidR="00EB4BE2">
        <w:rPr>
          <w:rFonts w:ascii="Arial" w:hAnsi="Arial" w:cs="Arial"/>
          <w:b/>
          <w:sz w:val="20"/>
          <w:szCs w:val="20"/>
          <w:lang w:val="en-US"/>
        </w:rPr>
        <w:t xml:space="preserve"> – 2016 to 2019 </w:t>
      </w:r>
      <w:r w:rsidR="00F063AB">
        <w:rPr>
          <w:rStyle w:val="FootnoteReference"/>
          <w:rFonts w:ascii="Arial" w:hAnsi="Arial" w:cs="Arial"/>
          <w:b/>
          <w:sz w:val="20"/>
          <w:szCs w:val="20"/>
          <w:lang w:val="en-US"/>
        </w:rPr>
        <w:footnoteReference w:id="19"/>
      </w:r>
    </w:p>
    <w:p w:rsidR="007E0A00" w:rsidRDefault="00CA6DE5" w:rsidP="007E0A00">
      <w:pPr>
        <w:spacing w:after="240" w:line="240" w:lineRule="auto"/>
        <w:ind w:left="567"/>
        <w:jc w:val="both"/>
        <w:rPr>
          <w:rFonts w:ascii="Arial" w:hAnsi="Arial" w:cs="Arial"/>
          <w:lang w:val="en-US"/>
        </w:rPr>
      </w:pPr>
      <w:r w:rsidRPr="00CA6DE5">
        <w:rPr>
          <w:noProof/>
          <w:sz w:val="16"/>
          <w:szCs w:val="16"/>
          <w:lang w:eastAsia="en-AU"/>
        </w:rPr>
        <w:drawing>
          <wp:inline distT="0" distB="0" distL="0" distR="0" wp14:anchorId="3ECC3504" wp14:editId="41AF995C">
            <wp:extent cx="5692775" cy="3633746"/>
            <wp:effectExtent l="0" t="0" r="3175"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40FAC" w:rsidRDefault="00B40FAC" w:rsidP="00FC3AB0">
      <w:pPr>
        <w:spacing w:before="240" w:after="120" w:line="240" w:lineRule="auto"/>
        <w:jc w:val="both"/>
        <w:rPr>
          <w:rFonts w:ascii="Arial" w:hAnsi="Arial" w:cs="Arial"/>
          <w:lang w:val="en-US"/>
        </w:rPr>
      </w:pPr>
    </w:p>
    <w:p w:rsidR="00FC3AB0" w:rsidRPr="000F5A38" w:rsidRDefault="00FC3AB0" w:rsidP="00FC3AB0">
      <w:pPr>
        <w:numPr>
          <w:ilvl w:val="0"/>
          <w:numId w:val="25"/>
        </w:numPr>
        <w:spacing w:after="240" w:line="240" w:lineRule="auto"/>
        <w:ind w:left="567" w:hanging="567"/>
        <w:jc w:val="both"/>
        <w:rPr>
          <w:rFonts w:ascii="Arial" w:hAnsi="Arial" w:cs="Arial"/>
          <w:lang w:val="en-US"/>
        </w:rPr>
      </w:pPr>
      <w:r w:rsidRPr="000F5A38">
        <w:rPr>
          <w:rFonts w:ascii="Arial" w:hAnsi="Arial" w:cs="Arial"/>
          <w:lang w:val="en-US"/>
        </w:rPr>
        <w:t>Western Australia has witnessed a significant decline in the number of employees covered by federal enterprise agreements in recent years, with the number of employees engaged under current agreements applying solely within the State falling from 153,800 to 113,700 during the three years to September 2019.</w:t>
      </w:r>
      <w:r w:rsidRPr="000F5A38">
        <w:rPr>
          <w:rFonts w:ascii="Arial" w:hAnsi="Arial" w:cs="Arial"/>
          <w:vertAlign w:val="superscript"/>
          <w:lang w:val="en-US"/>
        </w:rPr>
        <w:footnoteReference w:id="20"/>
      </w:r>
      <w:r w:rsidRPr="000F5A38">
        <w:rPr>
          <w:rFonts w:ascii="Arial" w:hAnsi="Arial" w:cs="Arial"/>
          <w:lang w:val="en-US"/>
        </w:rPr>
        <w:t xml:space="preserve"> </w:t>
      </w:r>
    </w:p>
    <w:p w:rsidR="00FC3AB0" w:rsidRDefault="00FC3AB0" w:rsidP="00FC3AB0">
      <w:pPr>
        <w:numPr>
          <w:ilvl w:val="0"/>
          <w:numId w:val="25"/>
        </w:numPr>
        <w:spacing w:after="240" w:line="240" w:lineRule="auto"/>
        <w:ind w:left="567" w:hanging="567"/>
        <w:jc w:val="both"/>
        <w:rPr>
          <w:rFonts w:ascii="Arial" w:hAnsi="Arial" w:cs="Arial"/>
          <w:lang w:val="en-US"/>
        </w:rPr>
      </w:pPr>
      <w:r>
        <w:rPr>
          <w:rFonts w:ascii="Arial" w:hAnsi="Arial" w:cs="Arial"/>
          <w:lang w:val="en-US"/>
        </w:rPr>
        <w:lastRenderedPageBreak/>
        <w:t xml:space="preserve">There has also been a significant downturn in wages growth in federal enterprise agreements applying within Western Australia, with the Average Annualised Wage </w:t>
      </w:r>
      <w:r w:rsidRPr="00F063AB">
        <w:rPr>
          <w:rFonts w:ascii="Arial" w:hAnsi="Arial" w:cs="Arial"/>
          <w:lang w:val="en-US"/>
        </w:rPr>
        <w:t>Increase (AAWI) in all current agreements declining from 3.</w:t>
      </w:r>
      <w:r>
        <w:rPr>
          <w:rFonts w:ascii="Arial" w:hAnsi="Arial" w:cs="Arial"/>
          <w:lang w:val="en-US"/>
        </w:rPr>
        <w:t>4</w:t>
      </w:r>
      <w:r w:rsidRPr="00F063AB">
        <w:rPr>
          <w:rFonts w:ascii="Arial" w:hAnsi="Arial" w:cs="Arial"/>
          <w:lang w:val="en-US"/>
        </w:rPr>
        <w:t xml:space="preserve"> per cent in </w:t>
      </w:r>
      <w:r>
        <w:rPr>
          <w:rFonts w:ascii="Arial" w:hAnsi="Arial" w:cs="Arial"/>
          <w:lang w:val="en-US"/>
        </w:rPr>
        <w:t>September </w:t>
      </w:r>
      <w:r w:rsidRPr="00F063AB">
        <w:rPr>
          <w:rFonts w:ascii="Arial" w:hAnsi="Arial" w:cs="Arial"/>
          <w:lang w:val="en-US"/>
        </w:rPr>
        <w:t xml:space="preserve">2016 to just </w:t>
      </w:r>
      <w:r>
        <w:rPr>
          <w:rFonts w:ascii="Arial" w:hAnsi="Arial" w:cs="Arial"/>
          <w:lang w:val="en-US"/>
        </w:rPr>
        <w:t>1</w:t>
      </w:r>
      <w:r w:rsidRPr="00F063AB">
        <w:rPr>
          <w:rFonts w:ascii="Arial" w:hAnsi="Arial" w:cs="Arial"/>
          <w:lang w:val="en-US"/>
        </w:rPr>
        <w:t>.</w:t>
      </w:r>
      <w:r>
        <w:rPr>
          <w:rFonts w:ascii="Arial" w:hAnsi="Arial" w:cs="Arial"/>
          <w:lang w:val="en-US"/>
        </w:rPr>
        <w:t>9</w:t>
      </w:r>
      <w:r w:rsidRPr="00F063AB">
        <w:rPr>
          <w:rFonts w:ascii="Arial" w:hAnsi="Arial" w:cs="Arial"/>
          <w:lang w:val="en-US"/>
        </w:rPr>
        <w:t xml:space="preserve"> per cent in </w:t>
      </w:r>
      <w:r>
        <w:rPr>
          <w:rFonts w:ascii="Arial" w:hAnsi="Arial" w:cs="Arial"/>
          <w:lang w:val="en-US"/>
        </w:rPr>
        <w:t>September</w:t>
      </w:r>
      <w:r w:rsidRPr="00F063AB">
        <w:rPr>
          <w:rFonts w:ascii="Arial" w:hAnsi="Arial" w:cs="Arial"/>
          <w:lang w:val="en-US"/>
        </w:rPr>
        <w:t xml:space="preserve"> 2019.</w:t>
      </w:r>
      <w:r>
        <w:rPr>
          <w:rStyle w:val="FootnoteReference"/>
          <w:rFonts w:ascii="Arial" w:hAnsi="Arial" w:cs="Arial"/>
          <w:lang w:val="en-US"/>
        </w:rPr>
        <w:footnoteReference w:id="21"/>
      </w:r>
      <w:r>
        <w:rPr>
          <w:rFonts w:ascii="Arial" w:hAnsi="Arial" w:cs="Arial"/>
          <w:lang w:val="en-US"/>
        </w:rPr>
        <w:t xml:space="preserve"> This is consistent with a broader trend that has seen Western Australia record low rates of wages growth in recent years, following the end of the mining-led investment boom. </w:t>
      </w:r>
    </w:p>
    <w:p w:rsidR="008B0C4E" w:rsidRPr="008B0C4E" w:rsidRDefault="009E605B" w:rsidP="00B531C7">
      <w:pPr>
        <w:numPr>
          <w:ilvl w:val="0"/>
          <w:numId w:val="25"/>
        </w:numPr>
        <w:spacing w:before="120" w:after="240" w:line="240" w:lineRule="auto"/>
        <w:ind w:left="567" w:hanging="567"/>
        <w:jc w:val="both"/>
        <w:rPr>
          <w:rFonts w:ascii="Arial" w:hAnsi="Arial" w:cs="Arial"/>
          <w:lang w:val="en-US"/>
        </w:rPr>
      </w:pPr>
      <w:r>
        <w:rPr>
          <w:rFonts w:ascii="Arial" w:hAnsi="Arial" w:cs="Arial"/>
          <w:lang w:val="en-US"/>
        </w:rPr>
        <w:t>N</w:t>
      </w:r>
      <w:r w:rsidR="008B0C4E" w:rsidRPr="008B0C4E">
        <w:rPr>
          <w:rFonts w:ascii="Arial" w:hAnsi="Arial" w:cs="Arial"/>
          <w:lang w:val="en-US"/>
        </w:rPr>
        <w:t>ational modern awards play a critical role in underpinning the federal enterprise bargaining system. Awards perform a dual role in establishing the benchmark for agreement registration through the Better Off Overall Test (</w:t>
      </w:r>
      <w:r w:rsidR="008B0C4E" w:rsidRPr="008B0C4E">
        <w:rPr>
          <w:rFonts w:ascii="Arial" w:hAnsi="Arial" w:cs="Arial"/>
          <w:b/>
          <w:lang w:val="en-US"/>
        </w:rPr>
        <w:t>BOOT</w:t>
      </w:r>
      <w:r w:rsidR="008B0C4E" w:rsidRPr="008B0C4E">
        <w:rPr>
          <w:rFonts w:ascii="Arial" w:hAnsi="Arial" w:cs="Arial"/>
          <w:lang w:val="en-US"/>
        </w:rPr>
        <w:t>), as well as setting a floor through which wages cannot fall below during the life of an agreement.</w:t>
      </w:r>
      <w:r w:rsidR="008B0C4E" w:rsidRPr="008B0C4E">
        <w:rPr>
          <w:rFonts w:ascii="Arial" w:hAnsi="Arial" w:cs="Arial"/>
          <w:vertAlign w:val="superscript"/>
          <w:lang w:val="en-US"/>
        </w:rPr>
        <w:footnoteReference w:id="22"/>
      </w:r>
      <w:r w:rsidR="008B0C4E" w:rsidRPr="008B0C4E">
        <w:rPr>
          <w:rFonts w:ascii="Arial" w:hAnsi="Arial" w:cs="Arial"/>
          <w:lang w:val="en-US"/>
        </w:rPr>
        <w:t xml:space="preserve"> </w:t>
      </w:r>
    </w:p>
    <w:p w:rsidR="008B0C4E" w:rsidRPr="003360F9" w:rsidRDefault="008B0C4E" w:rsidP="00D20BCA">
      <w:pPr>
        <w:numPr>
          <w:ilvl w:val="0"/>
          <w:numId w:val="25"/>
        </w:numPr>
        <w:spacing w:after="240" w:line="240" w:lineRule="auto"/>
        <w:ind w:left="567" w:hanging="567"/>
        <w:jc w:val="both"/>
        <w:rPr>
          <w:rFonts w:ascii="Arial" w:hAnsi="Arial" w:cs="Arial"/>
          <w:lang w:val="en-US"/>
        </w:rPr>
      </w:pPr>
      <w:r w:rsidRPr="003360F9">
        <w:rPr>
          <w:rFonts w:ascii="Arial" w:hAnsi="Arial" w:cs="Arial"/>
          <w:lang w:val="en-US"/>
        </w:rPr>
        <w:t>The effect of pay increases determined by the Panel for national modern awards therefore extends beyond award</w:t>
      </w:r>
      <w:r w:rsidR="009E605B">
        <w:rPr>
          <w:rFonts w:ascii="Arial" w:hAnsi="Arial" w:cs="Arial"/>
          <w:lang w:val="en-US"/>
        </w:rPr>
        <w:t>-</w:t>
      </w:r>
      <w:r w:rsidRPr="003360F9">
        <w:rPr>
          <w:rFonts w:ascii="Arial" w:hAnsi="Arial" w:cs="Arial"/>
          <w:lang w:val="en-US"/>
        </w:rPr>
        <w:t>covered employees, and has a material impact on employees subject to federal enterprise agreements. While this effect will be indirect in many cases, it is known that a number of federal enterprise agreements peg future wage rises to award wage increases</w:t>
      </w:r>
      <w:r w:rsidR="003360F9">
        <w:rPr>
          <w:rFonts w:ascii="Arial" w:hAnsi="Arial" w:cs="Arial"/>
          <w:lang w:val="en-US"/>
        </w:rPr>
        <w:t xml:space="preserve"> in the AWR</w:t>
      </w:r>
      <w:r w:rsidRPr="003360F9">
        <w:rPr>
          <w:rFonts w:ascii="Arial" w:hAnsi="Arial" w:cs="Arial"/>
          <w:lang w:val="en-US"/>
        </w:rPr>
        <w:t>.</w:t>
      </w:r>
      <w:r w:rsidRPr="003360F9">
        <w:rPr>
          <w:rFonts w:ascii="Arial" w:hAnsi="Arial" w:cs="Arial"/>
          <w:vertAlign w:val="superscript"/>
          <w:lang w:val="en-US"/>
        </w:rPr>
        <w:footnoteReference w:id="23"/>
      </w:r>
      <w:r w:rsidRPr="003360F9">
        <w:rPr>
          <w:rFonts w:ascii="Arial" w:hAnsi="Arial" w:cs="Arial"/>
          <w:lang w:val="en-US"/>
        </w:rPr>
        <w:t xml:space="preserve"> For instance the following agreements link future pay increases (either in part or in whole) to the AWR:</w:t>
      </w:r>
    </w:p>
    <w:p w:rsidR="008B0C4E" w:rsidRPr="003360F9" w:rsidRDefault="008B0C4E" w:rsidP="00B03B84">
      <w:pPr>
        <w:numPr>
          <w:ilvl w:val="0"/>
          <w:numId w:val="26"/>
        </w:numPr>
        <w:spacing w:after="120" w:line="240" w:lineRule="auto"/>
        <w:ind w:left="924" w:hanging="357"/>
        <w:jc w:val="both"/>
        <w:rPr>
          <w:rFonts w:ascii="Arial" w:hAnsi="Arial" w:cs="Arial"/>
          <w:lang w:val="en-US"/>
        </w:rPr>
      </w:pPr>
      <w:r w:rsidRPr="003360F9">
        <w:rPr>
          <w:rFonts w:ascii="Arial" w:hAnsi="Arial" w:cs="Arial"/>
          <w:i/>
          <w:lang w:val="en-US"/>
        </w:rPr>
        <w:t>Coles Supermarkets Enterprise Agreement 2017</w:t>
      </w:r>
      <w:r w:rsidRPr="003360F9">
        <w:rPr>
          <w:rFonts w:ascii="Arial" w:hAnsi="Arial" w:cs="Arial"/>
          <w:lang w:val="en-US"/>
        </w:rPr>
        <w:t xml:space="preserve"> (covering </w:t>
      </w:r>
      <w:r w:rsidR="00E72568">
        <w:rPr>
          <w:rFonts w:ascii="Arial" w:hAnsi="Arial" w:cs="Arial"/>
          <w:lang w:val="en-US"/>
        </w:rPr>
        <w:t>~</w:t>
      </w:r>
      <w:r w:rsidRPr="003360F9">
        <w:rPr>
          <w:rFonts w:ascii="Arial" w:hAnsi="Arial" w:cs="Arial"/>
          <w:lang w:val="en-US"/>
        </w:rPr>
        <w:t xml:space="preserve"> 82,000 employees)</w:t>
      </w:r>
    </w:p>
    <w:p w:rsidR="008B0C4E" w:rsidRDefault="008B0C4E" w:rsidP="00B03B84">
      <w:pPr>
        <w:numPr>
          <w:ilvl w:val="0"/>
          <w:numId w:val="26"/>
        </w:numPr>
        <w:spacing w:after="120" w:line="240" w:lineRule="auto"/>
        <w:ind w:left="924" w:hanging="357"/>
        <w:jc w:val="both"/>
        <w:rPr>
          <w:rFonts w:ascii="Arial" w:hAnsi="Arial" w:cs="Arial"/>
          <w:lang w:val="en-US"/>
        </w:rPr>
      </w:pPr>
      <w:r w:rsidRPr="003360F9">
        <w:rPr>
          <w:rFonts w:ascii="Arial" w:hAnsi="Arial" w:cs="Arial"/>
          <w:i/>
          <w:lang w:val="en-US"/>
        </w:rPr>
        <w:t>Woolworths Supermarkets Agreement 2018</w:t>
      </w:r>
      <w:r w:rsidRPr="003360F9">
        <w:rPr>
          <w:rFonts w:ascii="Arial" w:hAnsi="Arial" w:cs="Arial"/>
          <w:lang w:val="en-US"/>
        </w:rPr>
        <w:t xml:space="preserve"> (covering </w:t>
      </w:r>
      <w:r w:rsidR="00E72568">
        <w:rPr>
          <w:rFonts w:ascii="Arial" w:hAnsi="Arial" w:cs="Arial"/>
          <w:lang w:val="en-US"/>
        </w:rPr>
        <w:t>~</w:t>
      </w:r>
      <w:r w:rsidRPr="003360F9">
        <w:rPr>
          <w:rFonts w:ascii="Arial" w:hAnsi="Arial" w:cs="Arial"/>
          <w:lang w:val="en-US"/>
        </w:rPr>
        <w:t xml:space="preserve"> 1</w:t>
      </w:r>
      <w:r w:rsidR="00E72568">
        <w:rPr>
          <w:rFonts w:ascii="Arial" w:hAnsi="Arial" w:cs="Arial"/>
          <w:lang w:val="en-US"/>
        </w:rPr>
        <w:t>09</w:t>
      </w:r>
      <w:r w:rsidRPr="003360F9">
        <w:rPr>
          <w:rFonts w:ascii="Arial" w:hAnsi="Arial" w:cs="Arial"/>
          <w:lang w:val="en-US"/>
        </w:rPr>
        <w:t>,000 employees)</w:t>
      </w:r>
    </w:p>
    <w:p w:rsidR="00FB267B" w:rsidRPr="00FB267B" w:rsidRDefault="00FB267B" w:rsidP="00B03B84">
      <w:pPr>
        <w:numPr>
          <w:ilvl w:val="0"/>
          <w:numId w:val="26"/>
        </w:numPr>
        <w:spacing w:after="120" w:line="240" w:lineRule="auto"/>
        <w:ind w:left="924" w:hanging="357"/>
        <w:jc w:val="both"/>
        <w:rPr>
          <w:rFonts w:ascii="Arial" w:hAnsi="Arial" w:cs="Arial"/>
          <w:lang w:val="en-US"/>
        </w:rPr>
      </w:pPr>
      <w:r>
        <w:rPr>
          <w:rFonts w:ascii="Arial" w:hAnsi="Arial" w:cs="Arial"/>
          <w:i/>
          <w:lang w:val="en-US"/>
        </w:rPr>
        <w:t xml:space="preserve">Big W Stores Agreement 2019 </w:t>
      </w:r>
      <w:r w:rsidRPr="00FB267B">
        <w:rPr>
          <w:rFonts w:ascii="Arial" w:hAnsi="Arial" w:cs="Arial"/>
          <w:lang w:val="en-US"/>
        </w:rPr>
        <w:t>(</w:t>
      </w:r>
      <w:r>
        <w:rPr>
          <w:rFonts w:ascii="Arial" w:hAnsi="Arial" w:cs="Arial"/>
          <w:lang w:val="en-US"/>
        </w:rPr>
        <w:t xml:space="preserve">covering </w:t>
      </w:r>
      <w:r w:rsidR="00E72568">
        <w:rPr>
          <w:rFonts w:ascii="Arial" w:hAnsi="Arial" w:cs="Arial"/>
          <w:lang w:val="en-US"/>
        </w:rPr>
        <w:t xml:space="preserve">~ </w:t>
      </w:r>
      <w:r w:rsidRPr="00FB267B">
        <w:rPr>
          <w:rFonts w:ascii="Arial" w:hAnsi="Arial" w:cs="Arial"/>
          <w:lang w:val="en-US"/>
        </w:rPr>
        <w:t>1</w:t>
      </w:r>
      <w:r w:rsidR="00E72568">
        <w:rPr>
          <w:rFonts w:ascii="Arial" w:hAnsi="Arial" w:cs="Arial"/>
          <w:lang w:val="en-US"/>
        </w:rPr>
        <w:t>6</w:t>
      </w:r>
      <w:r w:rsidRPr="00FB267B">
        <w:rPr>
          <w:rFonts w:ascii="Arial" w:hAnsi="Arial" w:cs="Arial"/>
          <w:lang w:val="en-US"/>
        </w:rPr>
        <w:t>,</w:t>
      </w:r>
      <w:r w:rsidR="00E72568">
        <w:rPr>
          <w:rFonts w:ascii="Arial" w:hAnsi="Arial" w:cs="Arial"/>
          <w:lang w:val="en-US"/>
        </w:rPr>
        <w:t>0</w:t>
      </w:r>
      <w:r w:rsidRPr="00FB267B">
        <w:rPr>
          <w:rFonts w:ascii="Arial" w:hAnsi="Arial" w:cs="Arial"/>
          <w:lang w:val="en-US"/>
        </w:rPr>
        <w:t>00</w:t>
      </w:r>
      <w:r>
        <w:rPr>
          <w:rFonts w:ascii="Arial" w:hAnsi="Arial" w:cs="Arial"/>
          <w:lang w:val="en-US"/>
        </w:rPr>
        <w:t xml:space="preserve"> employees</w:t>
      </w:r>
      <w:r w:rsidRPr="00FB267B">
        <w:rPr>
          <w:rFonts w:ascii="Arial" w:hAnsi="Arial" w:cs="Arial"/>
          <w:lang w:val="en-US"/>
        </w:rPr>
        <w:t>)</w:t>
      </w:r>
    </w:p>
    <w:p w:rsidR="00FB267B" w:rsidRPr="003360F9" w:rsidRDefault="00E72568" w:rsidP="003360F9">
      <w:pPr>
        <w:numPr>
          <w:ilvl w:val="0"/>
          <w:numId w:val="26"/>
        </w:numPr>
        <w:spacing w:after="240" w:line="240" w:lineRule="auto"/>
        <w:ind w:left="924" w:hanging="357"/>
        <w:jc w:val="both"/>
        <w:rPr>
          <w:rFonts w:ascii="Arial" w:hAnsi="Arial" w:cs="Arial"/>
          <w:lang w:val="en-US"/>
        </w:rPr>
      </w:pPr>
      <w:r w:rsidRPr="00E72568">
        <w:rPr>
          <w:rFonts w:ascii="Arial" w:hAnsi="Arial" w:cs="Arial"/>
          <w:i/>
          <w:lang w:val="en-US"/>
        </w:rPr>
        <w:t>David Jones Enterprise Agreement 2018</w:t>
      </w:r>
      <w:r>
        <w:rPr>
          <w:rFonts w:ascii="Arial" w:hAnsi="Arial" w:cs="Arial"/>
          <w:lang w:val="en-US"/>
        </w:rPr>
        <w:t xml:space="preserve"> (covering ~ 7,000 employees) </w:t>
      </w:r>
    </w:p>
    <w:p w:rsidR="008B0C4E" w:rsidRPr="003360F9" w:rsidRDefault="008B0C4E" w:rsidP="008B0C4E">
      <w:pPr>
        <w:numPr>
          <w:ilvl w:val="0"/>
          <w:numId w:val="25"/>
        </w:numPr>
        <w:spacing w:after="240" w:line="240" w:lineRule="auto"/>
        <w:ind w:left="567" w:hanging="567"/>
        <w:jc w:val="both"/>
        <w:rPr>
          <w:rFonts w:ascii="Arial" w:hAnsi="Arial" w:cs="Arial"/>
          <w:lang w:val="en-US"/>
        </w:rPr>
      </w:pPr>
      <w:r w:rsidRPr="003360F9">
        <w:rPr>
          <w:rFonts w:ascii="Arial" w:hAnsi="Arial" w:cs="Arial"/>
          <w:lang w:val="en-US"/>
        </w:rPr>
        <w:t xml:space="preserve">The </w:t>
      </w:r>
      <w:r w:rsidR="009E605B">
        <w:rPr>
          <w:rFonts w:ascii="Arial" w:hAnsi="Arial" w:cs="Arial"/>
          <w:lang w:val="en-US"/>
        </w:rPr>
        <w:t>national</w:t>
      </w:r>
      <w:r w:rsidRPr="003360F9">
        <w:rPr>
          <w:rFonts w:ascii="Arial" w:hAnsi="Arial" w:cs="Arial"/>
          <w:lang w:val="en-US"/>
        </w:rPr>
        <w:t xml:space="preserve"> award system therefore continues to play a</w:t>
      </w:r>
      <w:r w:rsidR="003360F9">
        <w:rPr>
          <w:rFonts w:ascii="Arial" w:hAnsi="Arial" w:cs="Arial"/>
          <w:lang w:val="en-US"/>
        </w:rPr>
        <w:t xml:space="preserve"> vital</w:t>
      </w:r>
      <w:r w:rsidRPr="003360F9">
        <w:rPr>
          <w:rFonts w:ascii="Arial" w:hAnsi="Arial" w:cs="Arial"/>
          <w:lang w:val="en-US"/>
        </w:rPr>
        <w:t xml:space="preserve"> role in underpinning Australia’s enterprise bargaining framework. The Panel’s determin</w:t>
      </w:r>
      <w:r w:rsidR="003360F9">
        <w:rPr>
          <w:rFonts w:ascii="Arial" w:hAnsi="Arial" w:cs="Arial"/>
          <w:lang w:val="en-US"/>
        </w:rPr>
        <w:t xml:space="preserve">ations in the AWR impact not just </w:t>
      </w:r>
      <w:r w:rsidRPr="003360F9">
        <w:rPr>
          <w:rFonts w:ascii="Arial" w:hAnsi="Arial" w:cs="Arial"/>
          <w:lang w:val="en-US"/>
        </w:rPr>
        <w:t xml:space="preserve">award and minimum wage workers, </w:t>
      </w:r>
      <w:r w:rsidR="003360F9">
        <w:rPr>
          <w:rFonts w:ascii="Arial" w:hAnsi="Arial" w:cs="Arial"/>
          <w:lang w:val="en-US"/>
        </w:rPr>
        <w:t xml:space="preserve">but those working under a </w:t>
      </w:r>
      <w:r w:rsidRPr="003360F9">
        <w:rPr>
          <w:rFonts w:ascii="Arial" w:hAnsi="Arial" w:cs="Arial"/>
          <w:lang w:val="en-US"/>
        </w:rPr>
        <w:t xml:space="preserve">variety of pay setting arrangements. </w:t>
      </w:r>
    </w:p>
    <w:p w:rsidR="000229AD" w:rsidRPr="00F03048" w:rsidRDefault="000229AD" w:rsidP="000229AD">
      <w:pPr>
        <w:spacing w:after="240" w:line="240" w:lineRule="auto"/>
        <w:ind w:left="567"/>
        <w:jc w:val="both"/>
        <w:rPr>
          <w:rFonts w:ascii="Arial" w:hAnsi="Arial" w:cs="Arial"/>
          <w:b/>
          <w:lang w:val="en-US"/>
        </w:rPr>
      </w:pPr>
      <w:r w:rsidRPr="00F03048">
        <w:rPr>
          <w:rFonts w:ascii="Arial" w:hAnsi="Arial" w:cs="Arial"/>
          <w:b/>
          <w:lang w:val="en-US"/>
        </w:rPr>
        <w:t>The need to encourage collective bargaining</w:t>
      </w:r>
    </w:p>
    <w:p w:rsidR="008B0C4E" w:rsidRPr="008B0C4E" w:rsidRDefault="008B0C4E" w:rsidP="008B0C4E">
      <w:pPr>
        <w:numPr>
          <w:ilvl w:val="0"/>
          <w:numId w:val="25"/>
        </w:numPr>
        <w:spacing w:after="240" w:line="240" w:lineRule="auto"/>
        <w:ind w:left="567" w:hanging="567"/>
        <w:jc w:val="both"/>
        <w:rPr>
          <w:rFonts w:ascii="Arial" w:hAnsi="Arial" w:cs="Arial"/>
          <w:lang w:val="en-US"/>
        </w:rPr>
      </w:pPr>
      <w:r w:rsidRPr="008B0C4E">
        <w:rPr>
          <w:rFonts w:ascii="Arial" w:hAnsi="Arial" w:cs="Arial"/>
          <w:lang w:val="en-US"/>
        </w:rPr>
        <w:t xml:space="preserve">In satisfying the modern awards objective, </w:t>
      </w:r>
      <w:r w:rsidRPr="008B0C4E">
        <w:rPr>
          <w:rFonts w:eastAsiaTheme="minorHAnsi"/>
          <w:color w:val="000000"/>
          <w:shd w:val="clear" w:color="auto" w:fill="FFFFFF"/>
        </w:rPr>
        <w:t>the Panel is required to consider the need to encourage collective bargaining.</w:t>
      </w:r>
      <w:r w:rsidRPr="008B0C4E">
        <w:rPr>
          <w:rFonts w:eastAsiaTheme="minorHAnsi"/>
          <w:color w:val="000000"/>
          <w:shd w:val="clear" w:color="auto" w:fill="FFFFFF"/>
          <w:vertAlign w:val="superscript"/>
        </w:rPr>
        <w:footnoteReference w:id="24"/>
      </w:r>
    </w:p>
    <w:p w:rsidR="00307D59" w:rsidRDefault="00307D59">
      <w:pPr>
        <w:spacing w:after="200"/>
        <w:rPr>
          <w:rFonts w:ascii="Arial" w:hAnsi="Arial" w:cs="Arial"/>
          <w:lang w:val="en-US"/>
        </w:rPr>
      </w:pPr>
      <w:r>
        <w:rPr>
          <w:rFonts w:ascii="Arial" w:hAnsi="Arial" w:cs="Arial"/>
          <w:lang w:val="en-US"/>
        </w:rPr>
        <w:br w:type="page"/>
      </w:r>
    </w:p>
    <w:p w:rsidR="008B0C4E" w:rsidRPr="008B0C4E" w:rsidRDefault="008B0C4E" w:rsidP="008B0C4E">
      <w:pPr>
        <w:numPr>
          <w:ilvl w:val="0"/>
          <w:numId w:val="25"/>
        </w:numPr>
        <w:spacing w:after="240" w:line="240" w:lineRule="auto"/>
        <w:ind w:left="567" w:hanging="567"/>
        <w:jc w:val="both"/>
        <w:rPr>
          <w:rFonts w:ascii="Arial" w:hAnsi="Arial" w:cs="Arial"/>
          <w:lang w:val="en-US"/>
        </w:rPr>
      </w:pPr>
      <w:r w:rsidRPr="008B0C4E">
        <w:rPr>
          <w:rFonts w:ascii="Arial" w:hAnsi="Arial" w:cs="Arial"/>
          <w:lang w:val="en-US"/>
        </w:rPr>
        <w:lastRenderedPageBreak/>
        <w:t xml:space="preserve">In last year’s AWR the Panel </w:t>
      </w:r>
      <w:r w:rsidR="000229AD">
        <w:rPr>
          <w:rFonts w:ascii="Arial" w:hAnsi="Arial" w:cs="Arial"/>
          <w:lang w:val="en-US"/>
        </w:rPr>
        <w:t>noted</w:t>
      </w:r>
      <w:r w:rsidRPr="008B0C4E">
        <w:rPr>
          <w:rFonts w:ascii="Arial" w:hAnsi="Arial" w:cs="Arial"/>
          <w:lang w:val="en-US"/>
        </w:rPr>
        <w:t xml:space="preserve">: </w:t>
      </w:r>
    </w:p>
    <w:p w:rsidR="00232131" w:rsidRPr="00232131" w:rsidRDefault="00287975" w:rsidP="00307D59">
      <w:pPr>
        <w:spacing w:after="240" w:line="240" w:lineRule="auto"/>
        <w:ind w:left="851" w:right="284"/>
        <w:jc w:val="both"/>
        <w:rPr>
          <w:rFonts w:eastAsiaTheme="minorHAnsi"/>
          <w:sz w:val="20"/>
          <w:szCs w:val="20"/>
        </w:rPr>
      </w:pPr>
      <w:r>
        <w:rPr>
          <w:sz w:val="20"/>
          <w:szCs w:val="20"/>
        </w:rPr>
        <w:t>“</w:t>
      </w:r>
      <w:r w:rsidR="00232131" w:rsidRPr="00232131">
        <w:rPr>
          <w:sz w:val="20"/>
          <w:szCs w:val="20"/>
        </w:rPr>
        <w:t>As mentioned earlier, one of the matters we are required to take into account is ‘the need to encourage collective bargaining.’ As set out in Chapter 4, we accept that there has been a decline in current enterprise agreements, but a range of factors impact on the propensity to engage in collective bargaining, many of which are unrelated to increases in the NMW and modern award minimum wages. Given the complexity of factors which may contribute to decision making about whether or not to bargain, we are unable to predict the precise impact of our decision.</w:t>
      </w:r>
      <w:r>
        <w:rPr>
          <w:sz w:val="20"/>
          <w:szCs w:val="20"/>
        </w:rPr>
        <w:t>”</w:t>
      </w:r>
      <w:r w:rsidR="00383D74" w:rsidRPr="00383D74">
        <w:rPr>
          <w:rFonts w:ascii="Arial" w:hAnsi="Arial" w:cs="Arial"/>
          <w:vertAlign w:val="superscript"/>
          <w:lang w:val="en-US"/>
        </w:rPr>
        <w:t xml:space="preserve"> </w:t>
      </w:r>
      <w:r w:rsidR="00383D74" w:rsidRPr="008B0C4E">
        <w:rPr>
          <w:rFonts w:ascii="Arial" w:hAnsi="Arial" w:cs="Arial"/>
          <w:vertAlign w:val="superscript"/>
          <w:lang w:val="en-US"/>
        </w:rPr>
        <w:footnoteReference w:id="25"/>
      </w:r>
    </w:p>
    <w:p w:rsidR="00232131" w:rsidRPr="00232131" w:rsidRDefault="008B0C4E" w:rsidP="008B0C4E">
      <w:pPr>
        <w:numPr>
          <w:ilvl w:val="0"/>
          <w:numId w:val="25"/>
        </w:numPr>
        <w:spacing w:after="240" w:line="240" w:lineRule="auto"/>
        <w:ind w:left="567" w:hanging="567"/>
        <w:jc w:val="both"/>
        <w:rPr>
          <w:rFonts w:ascii="Arial" w:hAnsi="Arial" w:cs="Arial"/>
          <w:b/>
          <w:color w:val="C00000"/>
          <w:lang w:val="en-US"/>
        </w:rPr>
      </w:pPr>
      <w:r w:rsidRPr="008B0C4E">
        <w:rPr>
          <w:rFonts w:ascii="Arial" w:hAnsi="Arial" w:cs="Arial"/>
          <w:lang w:val="en-US"/>
        </w:rPr>
        <w:t xml:space="preserve">The Western Australian </w:t>
      </w:r>
      <w:r w:rsidRPr="0014777D">
        <w:rPr>
          <w:rFonts w:ascii="Arial" w:hAnsi="Arial" w:cs="Arial"/>
          <w:lang w:val="en-US"/>
        </w:rPr>
        <w:t xml:space="preserve">Government concurs </w:t>
      </w:r>
      <w:r w:rsidR="003360F9">
        <w:rPr>
          <w:rFonts w:ascii="Arial" w:hAnsi="Arial" w:cs="Arial"/>
          <w:lang w:val="en-US"/>
        </w:rPr>
        <w:t xml:space="preserve">that there are </w:t>
      </w:r>
      <w:r w:rsidRPr="008B0C4E">
        <w:rPr>
          <w:rFonts w:ascii="Arial" w:hAnsi="Arial" w:cs="Arial"/>
          <w:lang w:val="en-US"/>
        </w:rPr>
        <w:t xml:space="preserve">a variety of factors that </w:t>
      </w:r>
      <w:r w:rsidR="003360F9">
        <w:rPr>
          <w:rFonts w:ascii="Arial" w:hAnsi="Arial" w:cs="Arial"/>
          <w:lang w:val="en-US"/>
        </w:rPr>
        <w:t>impact</w:t>
      </w:r>
      <w:r w:rsidR="00FB71DF">
        <w:rPr>
          <w:rFonts w:ascii="Arial" w:hAnsi="Arial" w:cs="Arial"/>
          <w:lang w:val="en-US"/>
        </w:rPr>
        <w:t xml:space="preserve"> </w:t>
      </w:r>
      <w:r w:rsidR="003360F9">
        <w:rPr>
          <w:rFonts w:ascii="Arial" w:hAnsi="Arial" w:cs="Arial"/>
          <w:lang w:val="en-US"/>
        </w:rPr>
        <w:t xml:space="preserve">the propensity to engage in </w:t>
      </w:r>
      <w:r w:rsidRPr="008B0C4E">
        <w:rPr>
          <w:rFonts w:ascii="Arial" w:hAnsi="Arial" w:cs="Arial"/>
          <w:lang w:val="en-US"/>
        </w:rPr>
        <w:t>collective bargaining</w:t>
      </w:r>
      <w:r w:rsidR="00232131">
        <w:rPr>
          <w:rFonts w:ascii="Arial" w:hAnsi="Arial" w:cs="Arial"/>
          <w:lang w:val="en-US"/>
        </w:rPr>
        <w:t xml:space="preserve">, many of which </w:t>
      </w:r>
      <w:r w:rsidR="003360F9">
        <w:rPr>
          <w:rFonts w:ascii="Arial" w:hAnsi="Arial" w:cs="Arial"/>
          <w:lang w:val="en-US"/>
        </w:rPr>
        <w:t xml:space="preserve">are unrelated to increases in minimum and award wages. </w:t>
      </w:r>
      <w:r w:rsidR="00232131">
        <w:rPr>
          <w:rFonts w:ascii="Arial" w:hAnsi="Arial" w:cs="Arial"/>
          <w:lang w:val="en-US"/>
        </w:rPr>
        <w:t xml:space="preserve"> </w:t>
      </w:r>
    </w:p>
    <w:p w:rsidR="00FB71DF" w:rsidRPr="00FB71DF" w:rsidRDefault="003360F9" w:rsidP="008B0C4E">
      <w:pPr>
        <w:numPr>
          <w:ilvl w:val="0"/>
          <w:numId w:val="25"/>
        </w:numPr>
        <w:spacing w:after="240" w:line="240" w:lineRule="auto"/>
        <w:ind w:left="567" w:hanging="567"/>
        <w:jc w:val="both"/>
        <w:rPr>
          <w:rFonts w:ascii="Arial" w:hAnsi="Arial" w:cs="Arial"/>
          <w:b/>
          <w:color w:val="C00000"/>
          <w:lang w:val="en-US"/>
        </w:rPr>
      </w:pPr>
      <w:r>
        <w:rPr>
          <w:rFonts w:ascii="Arial" w:hAnsi="Arial" w:cs="Arial"/>
          <w:lang w:val="en-US"/>
        </w:rPr>
        <w:t xml:space="preserve">As </w:t>
      </w:r>
      <w:r w:rsidR="00FB71DF">
        <w:rPr>
          <w:rFonts w:ascii="Arial" w:hAnsi="Arial" w:cs="Arial"/>
          <w:lang w:val="en-US"/>
        </w:rPr>
        <w:t xml:space="preserve">outlined above, the number of employees covered by federal enterprise agreements actually increased in the three years to </w:t>
      </w:r>
      <w:r w:rsidR="004411E4">
        <w:rPr>
          <w:rFonts w:ascii="Arial" w:hAnsi="Arial" w:cs="Arial"/>
          <w:lang w:val="en-US"/>
        </w:rPr>
        <w:t>September</w:t>
      </w:r>
      <w:r w:rsidR="00FB71DF">
        <w:rPr>
          <w:rFonts w:ascii="Arial" w:hAnsi="Arial" w:cs="Arial"/>
          <w:lang w:val="en-US"/>
        </w:rPr>
        <w:t xml:space="preserve"> 2019, </w:t>
      </w:r>
      <w:r w:rsidR="004C7453">
        <w:rPr>
          <w:rFonts w:ascii="Arial" w:hAnsi="Arial" w:cs="Arial"/>
          <w:lang w:val="en-US"/>
        </w:rPr>
        <w:t xml:space="preserve">including a rise of </w:t>
      </w:r>
      <w:r w:rsidR="004411E4">
        <w:rPr>
          <w:rFonts w:ascii="Arial" w:hAnsi="Arial" w:cs="Arial"/>
          <w:lang w:val="en-US"/>
        </w:rPr>
        <w:t>almost</w:t>
      </w:r>
      <w:r w:rsidR="004C7453">
        <w:rPr>
          <w:rFonts w:ascii="Arial" w:hAnsi="Arial" w:cs="Arial"/>
          <w:lang w:val="en-US"/>
        </w:rPr>
        <w:t xml:space="preserve"> 400,000 employees </w:t>
      </w:r>
      <w:r w:rsidR="00FB71DF">
        <w:rPr>
          <w:rFonts w:ascii="Arial" w:hAnsi="Arial" w:cs="Arial"/>
          <w:lang w:val="en-US"/>
        </w:rPr>
        <w:t>since March 2018</w:t>
      </w:r>
      <w:r w:rsidR="00383D74">
        <w:rPr>
          <w:rFonts w:ascii="Arial" w:hAnsi="Arial" w:cs="Arial"/>
          <w:lang w:val="en-US"/>
        </w:rPr>
        <w:t>.</w:t>
      </w:r>
    </w:p>
    <w:p w:rsidR="008B0C4E" w:rsidRPr="008B0C4E" w:rsidRDefault="00232131" w:rsidP="008B0C4E">
      <w:pPr>
        <w:numPr>
          <w:ilvl w:val="0"/>
          <w:numId w:val="25"/>
        </w:numPr>
        <w:spacing w:after="240" w:line="240" w:lineRule="auto"/>
        <w:ind w:left="567" w:hanging="567"/>
        <w:jc w:val="both"/>
        <w:rPr>
          <w:rFonts w:ascii="Arial" w:hAnsi="Arial" w:cs="Arial"/>
          <w:b/>
          <w:color w:val="C00000"/>
          <w:lang w:val="en-US"/>
        </w:rPr>
      </w:pPr>
      <w:r>
        <w:rPr>
          <w:rFonts w:ascii="Arial" w:hAnsi="Arial" w:cs="Arial"/>
          <w:lang w:val="en-US"/>
        </w:rPr>
        <w:t xml:space="preserve">The Western Australian </w:t>
      </w:r>
      <w:r w:rsidRPr="00FB71DF">
        <w:rPr>
          <w:rFonts w:ascii="Arial" w:hAnsi="Arial" w:cs="Arial"/>
          <w:lang w:val="en-US"/>
        </w:rPr>
        <w:t>Government contends that f</w:t>
      </w:r>
      <w:r w:rsidR="008B0C4E" w:rsidRPr="00FB71DF">
        <w:rPr>
          <w:rFonts w:ascii="Arial" w:hAnsi="Arial" w:cs="Arial"/>
          <w:lang w:val="en-US"/>
        </w:rPr>
        <w:t xml:space="preserve">air and </w:t>
      </w:r>
      <w:r w:rsidR="00FB71DF" w:rsidRPr="00FB71DF">
        <w:rPr>
          <w:rFonts w:ascii="Arial" w:hAnsi="Arial" w:cs="Arial"/>
          <w:lang w:val="en-US"/>
        </w:rPr>
        <w:t>sustainable</w:t>
      </w:r>
      <w:r w:rsidR="008B0C4E" w:rsidRPr="00FB71DF">
        <w:rPr>
          <w:rFonts w:ascii="Arial" w:hAnsi="Arial" w:cs="Arial"/>
          <w:lang w:val="en-US"/>
        </w:rPr>
        <w:t xml:space="preserve"> minimum</w:t>
      </w:r>
      <w:r w:rsidR="008B0C4E" w:rsidRPr="008B0C4E">
        <w:rPr>
          <w:rFonts w:ascii="Arial" w:hAnsi="Arial" w:cs="Arial"/>
          <w:lang w:val="en-US"/>
        </w:rPr>
        <w:t xml:space="preserve"> </w:t>
      </w:r>
      <w:r>
        <w:rPr>
          <w:rFonts w:ascii="Arial" w:hAnsi="Arial" w:cs="Arial"/>
          <w:lang w:val="en-US"/>
        </w:rPr>
        <w:t xml:space="preserve">and award </w:t>
      </w:r>
      <w:r w:rsidR="008B0C4E" w:rsidRPr="008B0C4E">
        <w:rPr>
          <w:rFonts w:ascii="Arial" w:hAnsi="Arial" w:cs="Arial"/>
          <w:lang w:val="en-US"/>
        </w:rPr>
        <w:t>wage increases are unlikely to provide a</w:t>
      </w:r>
      <w:r w:rsidR="00FB71DF">
        <w:rPr>
          <w:rFonts w:ascii="Arial" w:hAnsi="Arial" w:cs="Arial"/>
          <w:lang w:val="en-US"/>
        </w:rPr>
        <w:t xml:space="preserve">ny </w:t>
      </w:r>
      <w:r w:rsidR="00383D74">
        <w:rPr>
          <w:rFonts w:ascii="Arial" w:hAnsi="Arial" w:cs="Arial"/>
          <w:lang w:val="en-US"/>
        </w:rPr>
        <w:t>appreciable</w:t>
      </w:r>
      <w:r w:rsidR="00FB71DF">
        <w:rPr>
          <w:rFonts w:ascii="Arial" w:hAnsi="Arial" w:cs="Arial"/>
          <w:lang w:val="en-US"/>
        </w:rPr>
        <w:t xml:space="preserve"> </w:t>
      </w:r>
      <w:r w:rsidR="008B0C4E" w:rsidRPr="008B0C4E">
        <w:rPr>
          <w:rFonts w:ascii="Arial" w:hAnsi="Arial" w:cs="Arial"/>
          <w:lang w:val="en-US"/>
        </w:rPr>
        <w:t xml:space="preserve">disincentive to </w:t>
      </w:r>
      <w:r>
        <w:rPr>
          <w:rFonts w:ascii="Arial" w:hAnsi="Arial" w:cs="Arial"/>
          <w:lang w:val="en-US"/>
        </w:rPr>
        <w:t xml:space="preserve">engage in </w:t>
      </w:r>
      <w:r w:rsidR="008B0C4E" w:rsidRPr="008B0C4E">
        <w:rPr>
          <w:rFonts w:ascii="Arial" w:hAnsi="Arial" w:cs="Arial"/>
          <w:lang w:val="en-US"/>
        </w:rPr>
        <w:t xml:space="preserve">collective </w:t>
      </w:r>
      <w:r w:rsidR="00263400" w:rsidRPr="008B0C4E">
        <w:rPr>
          <w:rFonts w:ascii="Arial" w:hAnsi="Arial" w:cs="Arial"/>
          <w:lang w:val="en-US"/>
        </w:rPr>
        <w:t>agreement making</w:t>
      </w:r>
      <w:r w:rsidR="00D20BCA">
        <w:rPr>
          <w:rFonts w:ascii="Arial" w:hAnsi="Arial" w:cs="Arial"/>
          <w:lang w:val="en-US"/>
        </w:rPr>
        <w:t xml:space="preserve">. </w:t>
      </w:r>
      <w:r w:rsidR="008B0C4E" w:rsidRPr="008B0C4E">
        <w:rPr>
          <w:rFonts w:ascii="Arial" w:hAnsi="Arial" w:cs="Arial"/>
          <w:lang w:val="en-US"/>
        </w:rPr>
        <w:t xml:space="preserve"> </w:t>
      </w:r>
    </w:p>
    <w:p w:rsidR="008B0C4E" w:rsidRPr="008B0C4E" w:rsidRDefault="008B0C4E" w:rsidP="00E26BBE">
      <w:pPr>
        <w:pBdr>
          <w:bottom w:val="single" w:sz="4" w:space="1" w:color="auto"/>
        </w:pBdr>
        <w:spacing w:after="240" w:line="240" w:lineRule="auto"/>
        <w:rPr>
          <w:rFonts w:ascii="Arial" w:hAnsi="Arial" w:cs="Arial"/>
          <w:b/>
          <w:color w:val="C00000"/>
          <w:lang w:val="en-US"/>
        </w:rPr>
      </w:pPr>
      <w:r w:rsidRPr="008B0C4E">
        <w:rPr>
          <w:rFonts w:ascii="Arial" w:hAnsi="Arial" w:cs="Arial"/>
          <w:b/>
          <w:color w:val="C00000"/>
          <w:lang w:val="en-US"/>
        </w:rPr>
        <w:t>Employees covered by individual arrangements</w:t>
      </w:r>
    </w:p>
    <w:p w:rsidR="008B0C4E" w:rsidRPr="008B0C4E" w:rsidRDefault="008B0C4E" w:rsidP="008B0C4E">
      <w:pPr>
        <w:numPr>
          <w:ilvl w:val="0"/>
          <w:numId w:val="25"/>
        </w:numPr>
        <w:spacing w:after="240" w:line="240" w:lineRule="auto"/>
        <w:ind w:left="567" w:hanging="567"/>
        <w:jc w:val="both"/>
        <w:rPr>
          <w:rFonts w:ascii="Arial" w:hAnsi="Arial" w:cs="Arial"/>
          <w:b/>
          <w:color w:val="17365D" w:themeColor="text2" w:themeShade="BF"/>
          <w:lang w:val="en-US"/>
        </w:rPr>
      </w:pPr>
      <w:r w:rsidRPr="008B0C4E">
        <w:rPr>
          <w:rFonts w:ascii="Arial" w:hAnsi="Arial" w:cs="Arial"/>
          <w:color w:val="000000" w:themeColor="text1"/>
          <w:lang w:val="en-US"/>
        </w:rPr>
        <w:t xml:space="preserve">The National Minimum Wage Order does not directly affect employees working under individual arrangements </w:t>
      </w:r>
      <w:r w:rsidR="00232131">
        <w:rPr>
          <w:rFonts w:ascii="Arial" w:hAnsi="Arial" w:cs="Arial"/>
          <w:color w:val="000000" w:themeColor="text1"/>
          <w:lang w:val="en-US"/>
        </w:rPr>
        <w:t xml:space="preserve">providing </w:t>
      </w:r>
      <w:r w:rsidRPr="008B0C4E">
        <w:rPr>
          <w:rFonts w:ascii="Arial" w:hAnsi="Arial" w:cs="Arial"/>
          <w:color w:val="000000" w:themeColor="text1"/>
          <w:lang w:val="en-US"/>
        </w:rPr>
        <w:t xml:space="preserve">for above award rates of pay. However, some common law </w:t>
      </w:r>
      <w:r w:rsidR="00232131">
        <w:rPr>
          <w:rFonts w:ascii="Arial" w:hAnsi="Arial" w:cs="Arial"/>
          <w:color w:val="000000" w:themeColor="text1"/>
          <w:lang w:val="en-US"/>
        </w:rPr>
        <w:t xml:space="preserve">employment </w:t>
      </w:r>
      <w:r w:rsidRPr="008B0C4E">
        <w:rPr>
          <w:rFonts w:ascii="Arial" w:hAnsi="Arial" w:cs="Arial"/>
          <w:color w:val="000000" w:themeColor="text1"/>
          <w:lang w:val="en-US"/>
        </w:rPr>
        <w:t xml:space="preserve">contracts </w:t>
      </w:r>
      <w:r w:rsidR="00232131">
        <w:rPr>
          <w:rFonts w:ascii="Arial" w:hAnsi="Arial" w:cs="Arial"/>
          <w:color w:val="000000" w:themeColor="text1"/>
          <w:lang w:val="en-US"/>
        </w:rPr>
        <w:t xml:space="preserve">are likely to </w:t>
      </w:r>
      <w:r w:rsidRPr="008B0C4E">
        <w:rPr>
          <w:rFonts w:ascii="Arial" w:hAnsi="Arial" w:cs="Arial"/>
          <w:color w:val="000000" w:themeColor="text1"/>
          <w:lang w:val="en-US"/>
        </w:rPr>
        <w:t xml:space="preserve">contain provisions linking future wage increases to the movements in the NMW or modern award wages. </w:t>
      </w:r>
    </w:p>
    <w:p w:rsidR="00DC016D" w:rsidRPr="00DC016D" w:rsidRDefault="008B0C4E" w:rsidP="008B0C4E">
      <w:pPr>
        <w:numPr>
          <w:ilvl w:val="0"/>
          <w:numId w:val="25"/>
        </w:numPr>
        <w:spacing w:after="240" w:line="240" w:lineRule="auto"/>
        <w:ind w:left="567" w:hanging="567"/>
        <w:jc w:val="both"/>
        <w:rPr>
          <w:rFonts w:ascii="Arial" w:hAnsi="Arial" w:cs="Arial"/>
          <w:b/>
          <w:color w:val="17365D" w:themeColor="text2" w:themeShade="BF"/>
          <w:lang w:val="en-US"/>
        </w:rPr>
      </w:pPr>
      <w:r w:rsidRPr="008B0C4E">
        <w:rPr>
          <w:rFonts w:ascii="Arial" w:hAnsi="Arial" w:cs="Arial"/>
          <w:color w:val="000000" w:themeColor="text1"/>
          <w:lang w:val="en-US"/>
        </w:rPr>
        <w:t>As the Panel noted in last year’s AWR</w:t>
      </w:r>
      <w:r w:rsidR="00DC016D">
        <w:rPr>
          <w:rFonts w:ascii="Arial" w:hAnsi="Arial" w:cs="Arial"/>
          <w:color w:val="000000" w:themeColor="text1"/>
          <w:lang w:val="en-US"/>
        </w:rPr>
        <w:t xml:space="preserve">: </w:t>
      </w:r>
    </w:p>
    <w:p w:rsidR="008B0C4E" w:rsidRPr="0061612B" w:rsidRDefault="0061612B" w:rsidP="0061612B">
      <w:pPr>
        <w:spacing w:after="240" w:line="240" w:lineRule="auto"/>
        <w:ind w:left="851" w:right="284"/>
        <w:jc w:val="both"/>
        <w:rPr>
          <w:rFonts w:ascii="Arial" w:hAnsi="Arial" w:cs="Arial"/>
          <w:b/>
          <w:color w:val="17365D" w:themeColor="text2" w:themeShade="BF"/>
          <w:sz w:val="20"/>
          <w:szCs w:val="20"/>
          <w:lang w:val="en-US"/>
        </w:rPr>
      </w:pPr>
      <w:r>
        <w:rPr>
          <w:sz w:val="20"/>
          <w:szCs w:val="20"/>
        </w:rPr>
        <w:t>“</w:t>
      </w:r>
      <w:r w:rsidR="00DC016D" w:rsidRPr="0061612B">
        <w:rPr>
          <w:sz w:val="20"/>
          <w:szCs w:val="20"/>
        </w:rPr>
        <w:t>In addition to these employees, the Panel’s decision is also likely to affect those paid close to the NMW rate or a modern award minimum wage rate, workers whose pay is set by a collective agreement which is linked to the outcomes of the Review, as well as workers whose pay is set by individual arrangements which are referenced to an award rate. According to the RBA, the wages of a further one-fifth of employees are linked to changes in the NMW or modern award minimum wages in their collective agreements or individual arrangements. Research undertaken for the Commission found that 21 per cent of employees in non-public sector organisations were on ‘over-award’ arrangements—that is, where the wage is set, influenced or guided in some way by the applicable award rate.</w:t>
      </w:r>
      <w:r>
        <w:rPr>
          <w:sz w:val="20"/>
          <w:szCs w:val="20"/>
        </w:rPr>
        <w:t>”</w:t>
      </w:r>
      <w:r w:rsidR="008B0C4E" w:rsidRPr="0061612B">
        <w:rPr>
          <w:rFonts w:ascii="Arial" w:hAnsi="Arial" w:cs="Arial"/>
          <w:color w:val="000000" w:themeColor="text1"/>
          <w:sz w:val="20"/>
          <w:szCs w:val="20"/>
          <w:vertAlign w:val="superscript"/>
          <w:lang w:val="en-US"/>
        </w:rPr>
        <w:t xml:space="preserve"> </w:t>
      </w:r>
      <w:r w:rsidR="008B0C4E" w:rsidRPr="0061612B">
        <w:rPr>
          <w:rFonts w:ascii="Arial" w:hAnsi="Arial" w:cs="Arial"/>
          <w:color w:val="000000" w:themeColor="text1"/>
          <w:sz w:val="20"/>
          <w:szCs w:val="20"/>
          <w:vertAlign w:val="superscript"/>
          <w:lang w:val="en-US"/>
        </w:rPr>
        <w:footnoteReference w:id="26"/>
      </w:r>
    </w:p>
    <w:p w:rsidR="008B0C4E" w:rsidRPr="00731CC5" w:rsidRDefault="0061612B" w:rsidP="00731CC5">
      <w:pPr>
        <w:numPr>
          <w:ilvl w:val="0"/>
          <w:numId w:val="25"/>
        </w:numPr>
        <w:spacing w:after="240" w:line="240" w:lineRule="auto"/>
        <w:ind w:left="567" w:hanging="567"/>
        <w:jc w:val="both"/>
        <w:rPr>
          <w:rFonts w:ascii="Arial" w:hAnsi="Arial" w:cs="Arial"/>
          <w:b/>
          <w:color w:val="17365D" w:themeColor="text2" w:themeShade="BF"/>
          <w:lang w:val="en-US"/>
        </w:rPr>
      </w:pPr>
      <w:r>
        <w:rPr>
          <w:rFonts w:ascii="Arial" w:hAnsi="Arial" w:cs="Arial"/>
          <w:color w:val="000000" w:themeColor="text1"/>
          <w:lang w:val="en-US"/>
        </w:rPr>
        <w:t>The research referred to in the above quote suggests the Panel’s decision is likely to extend to a significant number of employees who are working under collective agreements or individual arrangements, including those being paid over-award rates of pay. Add</w:t>
      </w:r>
      <w:r w:rsidR="008B0C4E" w:rsidRPr="008B0C4E">
        <w:rPr>
          <w:rFonts w:ascii="Arial" w:hAnsi="Arial" w:cs="Arial"/>
          <w:color w:val="000000" w:themeColor="text1"/>
          <w:lang w:val="en-US"/>
        </w:rPr>
        <w:t xml:space="preserve">itionally, contracts of employment that provide for wage rates only marginally above the relevant award minimum may be impacted by any decision the Panel makes in this year’s AWR. </w:t>
      </w:r>
    </w:p>
    <w:p w:rsidR="00307D59" w:rsidRDefault="00731CC5" w:rsidP="00731CC5">
      <w:pPr>
        <w:spacing w:line="240" w:lineRule="auto"/>
        <w:ind w:left="567"/>
        <w:rPr>
          <w:rFonts w:ascii="Arial" w:hAnsi="Arial" w:cs="Arial"/>
          <w:b/>
          <w:color w:val="000000" w:themeColor="text1"/>
          <w:sz w:val="20"/>
          <w:szCs w:val="20"/>
          <w:lang w:val="en-US"/>
        </w:rPr>
      </w:pPr>
      <w:r>
        <w:rPr>
          <w:rFonts w:ascii="Arial" w:hAnsi="Arial" w:cs="Arial"/>
          <w:b/>
          <w:color w:val="000000" w:themeColor="text1"/>
          <w:sz w:val="20"/>
          <w:szCs w:val="20"/>
          <w:lang w:val="en-US"/>
        </w:rPr>
        <w:t xml:space="preserve">  </w:t>
      </w:r>
    </w:p>
    <w:p w:rsidR="00307D59" w:rsidRDefault="00307D59">
      <w:pPr>
        <w:spacing w:after="200"/>
        <w:rPr>
          <w:rFonts w:ascii="Arial" w:hAnsi="Arial" w:cs="Arial"/>
          <w:b/>
          <w:color w:val="000000" w:themeColor="text1"/>
          <w:sz w:val="20"/>
          <w:szCs w:val="20"/>
          <w:lang w:val="en-US"/>
        </w:rPr>
      </w:pPr>
      <w:r>
        <w:rPr>
          <w:rFonts w:ascii="Arial" w:hAnsi="Arial" w:cs="Arial"/>
          <w:b/>
          <w:color w:val="000000" w:themeColor="text1"/>
          <w:sz w:val="20"/>
          <w:szCs w:val="20"/>
          <w:lang w:val="en-US"/>
        </w:rPr>
        <w:br w:type="page"/>
      </w:r>
    </w:p>
    <w:p w:rsidR="00731CC5" w:rsidRPr="00731CC5" w:rsidRDefault="00307D59" w:rsidP="00731CC5">
      <w:pPr>
        <w:spacing w:line="240" w:lineRule="auto"/>
        <w:ind w:left="567"/>
        <w:rPr>
          <w:rFonts w:ascii="Arial" w:hAnsi="Arial" w:cs="Arial"/>
          <w:b/>
          <w:color w:val="000000" w:themeColor="text1"/>
          <w:sz w:val="20"/>
          <w:szCs w:val="20"/>
          <w:lang w:val="en-US"/>
        </w:rPr>
      </w:pPr>
      <w:r>
        <w:rPr>
          <w:rFonts w:ascii="Arial" w:hAnsi="Arial" w:cs="Arial"/>
          <w:b/>
          <w:color w:val="000000" w:themeColor="text1"/>
          <w:sz w:val="20"/>
          <w:szCs w:val="20"/>
          <w:lang w:val="en-US"/>
        </w:rPr>
        <w:lastRenderedPageBreak/>
        <w:t xml:space="preserve">  </w:t>
      </w:r>
      <w:r w:rsidR="005127E4">
        <w:rPr>
          <w:rFonts w:ascii="Arial" w:hAnsi="Arial" w:cs="Arial"/>
          <w:b/>
          <w:color w:val="000000" w:themeColor="text1"/>
          <w:sz w:val="20"/>
          <w:szCs w:val="20"/>
          <w:lang w:val="en-US"/>
        </w:rPr>
        <w:t xml:space="preserve">Figure 2: </w:t>
      </w:r>
      <w:r w:rsidR="00731CC5" w:rsidRPr="00731CC5">
        <w:rPr>
          <w:rFonts w:ascii="Arial" w:hAnsi="Arial" w:cs="Arial"/>
          <w:b/>
          <w:color w:val="000000" w:themeColor="text1"/>
          <w:sz w:val="20"/>
          <w:szCs w:val="20"/>
          <w:lang w:val="en-US"/>
        </w:rPr>
        <w:t xml:space="preserve">Method of setting pay </w:t>
      </w:r>
      <w:r w:rsidR="005127E4">
        <w:rPr>
          <w:rFonts w:ascii="Arial" w:hAnsi="Arial" w:cs="Arial"/>
          <w:b/>
          <w:color w:val="000000" w:themeColor="text1"/>
          <w:sz w:val="20"/>
          <w:szCs w:val="20"/>
          <w:lang w:val="en-US"/>
        </w:rPr>
        <w:t>-</w:t>
      </w:r>
      <w:r w:rsidR="00731CC5" w:rsidRPr="00731CC5">
        <w:rPr>
          <w:rFonts w:ascii="Arial" w:hAnsi="Arial" w:cs="Arial"/>
          <w:b/>
          <w:color w:val="000000" w:themeColor="text1"/>
          <w:sz w:val="20"/>
          <w:szCs w:val="20"/>
          <w:lang w:val="en-US"/>
        </w:rPr>
        <w:t xml:space="preserve"> </w:t>
      </w:r>
      <w:r w:rsidR="005127E4">
        <w:rPr>
          <w:rFonts w:ascii="Arial" w:hAnsi="Arial" w:cs="Arial"/>
          <w:b/>
          <w:color w:val="000000" w:themeColor="text1"/>
          <w:sz w:val="20"/>
          <w:szCs w:val="20"/>
          <w:lang w:val="en-US"/>
        </w:rPr>
        <w:t xml:space="preserve">WA - </w:t>
      </w:r>
      <w:r w:rsidR="00731CC5" w:rsidRPr="00731CC5">
        <w:rPr>
          <w:rFonts w:ascii="Arial" w:hAnsi="Arial" w:cs="Arial"/>
          <w:b/>
          <w:color w:val="000000" w:themeColor="text1"/>
          <w:sz w:val="20"/>
          <w:szCs w:val="20"/>
          <w:lang w:val="en-US"/>
        </w:rPr>
        <w:t>May 2018</w:t>
      </w:r>
      <w:r w:rsidR="00CF6259">
        <w:rPr>
          <w:rStyle w:val="FootnoteReference"/>
          <w:rFonts w:ascii="Arial" w:hAnsi="Arial" w:cs="Arial"/>
          <w:b/>
          <w:color w:val="000000" w:themeColor="text1"/>
          <w:sz w:val="20"/>
          <w:szCs w:val="20"/>
          <w:lang w:val="en-US"/>
        </w:rPr>
        <w:footnoteReference w:id="27"/>
      </w:r>
    </w:p>
    <w:p w:rsidR="00731CC5" w:rsidRPr="00CF6259" w:rsidRDefault="005E5C91" w:rsidP="00731CC5">
      <w:pPr>
        <w:spacing w:after="240" w:line="240" w:lineRule="auto"/>
        <w:ind w:left="567"/>
        <w:rPr>
          <w:rFonts w:ascii="Arial" w:hAnsi="Arial" w:cs="Arial"/>
          <w:b/>
          <w:color w:val="17365D" w:themeColor="text2" w:themeShade="BF"/>
          <w:sz w:val="20"/>
          <w:szCs w:val="20"/>
          <w:lang w:val="en-US"/>
        </w:rPr>
      </w:pPr>
      <w:r>
        <w:rPr>
          <w:noProof/>
          <w:lang w:eastAsia="en-AU"/>
        </w:rPr>
        <w:drawing>
          <wp:inline distT="0" distB="0" distL="0" distR="0" wp14:anchorId="7025292F" wp14:editId="55E0953F">
            <wp:extent cx="3514090" cy="1828800"/>
            <wp:effectExtent l="57150" t="0" r="48260" b="1143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31CC5" w:rsidRPr="00731CC5" w:rsidRDefault="005E5C91" w:rsidP="00B03B84">
      <w:pPr>
        <w:spacing w:line="240" w:lineRule="auto"/>
        <w:ind w:left="567"/>
        <w:rPr>
          <w:rFonts w:ascii="Arial" w:hAnsi="Arial" w:cs="Arial"/>
          <w:b/>
          <w:color w:val="000000" w:themeColor="text1"/>
          <w:sz w:val="20"/>
          <w:szCs w:val="20"/>
          <w:lang w:val="en-US"/>
        </w:rPr>
      </w:pPr>
      <w:r>
        <w:rPr>
          <w:rFonts w:ascii="Arial" w:hAnsi="Arial" w:cs="Arial"/>
          <w:b/>
          <w:color w:val="000000" w:themeColor="text1"/>
          <w:sz w:val="20"/>
          <w:szCs w:val="20"/>
          <w:lang w:val="en-US"/>
        </w:rPr>
        <w:t xml:space="preserve">  </w:t>
      </w:r>
      <w:r w:rsidR="005127E4">
        <w:rPr>
          <w:rFonts w:ascii="Arial" w:hAnsi="Arial" w:cs="Arial"/>
          <w:b/>
          <w:color w:val="000000" w:themeColor="text1"/>
          <w:sz w:val="20"/>
          <w:szCs w:val="20"/>
          <w:lang w:val="en-US"/>
        </w:rPr>
        <w:t xml:space="preserve">Figure 3: </w:t>
      </w:r>
      <w:r w:rsidR="00731CC5" w:rsidRPr="00731CC5">
        <w:rPr>
          <w:rFonts w:ascii="Arial" w:hAnsi="Arial" w:cs="Arial"/>
          <w:b/>
          <w:color w:val="000000" w:themeColor="text1"/>
          <w:sz w:val="20"/>
          <w:szCs w:val="20"/>
          <w:lang w:val="en-US"/>
        </w:rPr>
        <w:t xml:space="preserve">Method of setting pay </w:t>
      </w:r>
      <w:r w:rsidR="005127E4">
        <w:rPr>
          <w:rFonts w:ascii="Arial" w:hAnsi="Arial" w:cs="Arial"/>
          <w:b/>
          <w:color w:val="000000" w:themeColor="text1"/>
          <w:sz w:val="20"/>
          <w:szCs w:val="20"/>
          <w:lang w:val="en-US"/>
        </w:rPr>
        <w:t>– Australia -</w:t>
      </w:r>
      <w:r w:rsidR="00731CC5" w:rsidRPr="00731CC5">
        <w:rPr>
          <w:rFonts w:ascii="Arial" w:hAnsi="Arial" w:cs="Arial"/>
          <w:b/>
          <w:color w:val="000000" w:themeColor="text1"/>
          <w:sz w:val="20"/>
          <w:szCs w:val="20"/>
          <w:lang w:val="en-US"/>
        </w:rPr>
        <w:t xml:space="preserve"> May 2018</w:t>
      </w:r>
      <w:r w:rsidR="00CF6259">
        <w:rPr>
          <w:rStyle w:val="FootnoteReference"/>
          <w:rFonts w:ascii="Arial" w:hAnsi="Arial" w:cs="Arial"/>
          <w:b/>
          <w:color w:val="000000" w:themeColor="text1"/>
          <w:sz w:val="20"/>
          <w:szCs w:val="20"/>
          <w:lang w:val="en-US"/>
        </w:rPr>
        <w:footnoteReference w:id="28"/>
      </w:r>
    </w:p>
    <w:p w:rsidR="00731CC5" w:rsidRPr="00CF6259" w:rsidRDefault="002A3325" w:rsidP="00731CC5">
      <w:pPr>
        <w:spacing w:after="960" w:line="240" w:lineRule="auto"/>
        <w:ind w:left="567"/>
        <w:rPr>
          <w:rFonts w:ascii="Arial" w:hAnsi="Arial" w:cs="Arial"/>
          <w:b/>
          <w:color w:val="17365D" w:themeColor="text2" w:themeShade="BF"/>
          <w:sz w:val="20"/>
          <w:szCs w:val="20"/>
          <w:lang w:val="en-US"/>
        </w:rPr>
      </w:pPr>
      <w:r>
        <w:rPr>
          <w:noProof/>
          <w:lang w:eastAsia="en-AU"/>
        </w:rPr>
        <w:drawing>
          <wp:inline distT="0" distB="0" distL="0" distR="0" wp14:anchorId="702055A5" wp14:editId="3312CBE7">
            <wp:extent cx="3514090" cy="1789044"/>
            <wp:effectExtent l="57150" t="0" r="48260" b="1162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B0C4E" w:rsidRPr="00FB71DF" w:rsidRDefault="008B0C4E" w:rsidP="008B0C4E">
      <w:pPr>
        <w:keepNext/>
        <w:keepLines/>
        <w:spacing w:line="240" w:lineRule="auto"/>
        <w:outlineLvl w:val="0"/>
        <w:rPr>
          <w:rFonts w:asciiTheme="majorHAnsi" w:eastAsiaTheme="majorEastAsia" w:hAnsiTheme="majorHAnsi" w:cstheme="majorBidi"/>
          <w:b/>
          <w:bCs/>
          <w:color w:val="0070C0"/>
          <w:sz w:val="32"/>
          <w:szCs w:val="28"/>
          <w:lang w:val="en-US"/>
        </w:rPr>
      </w:pPr>
      <w:r w:rsidRPr="00FB71DF">
        <w:rPr>
          <w:rFonts w:asciiTheme="majorHAnsi" w:eastAsiaTheme="majorEastAsia" w:hAnsiTheme="majorHAnsi" w:cstheme="majorBidi"/>
          <w:b/>
          <w:bCs/>
          <w:color w:val="0070C0"/>
          <w:sz w:val="32"/>
          <w:szCs w:val="28"/>
          <w:lang w:val="en-US"/>
        </w:rPr>
        <w:t>Further considerations</w:t>
      </w:r>
    </w:p>
    <w:p w:rsidR="008B0C4E" w:rsidRPr="008B0C4E" w:rsidRDefault="008B0C4E" w:rsidP="008B0C4E">
      <w:pPr>
        <w:shd w:val="clear" w:color="auto" w:fill="FFFFFF"/>
        <w:spacing w:line="240" w:lineRule="auto"/>
        <w:jc w:val="both"/>
        <w:rPr>
          <w:rFonts w:ascii="Arial" w:hAnsi="Arial" w:cs="Arial"/>
          <w:b/>
          <w:color w:val="C00000"/>
          <w:lang w:eastAsia="en-AU"/>
        </w:rPr>
      </w:pPr>
    </w:p>
    <w:p w:rsidR="008B0C4E" w:rsidRPr="008B0C4E" w:rsidRDefault="008B0C4E" w:rsidP="00E26BBE">
      <w:pPr>
        <w:pBdr>
          <w:bottom w:val="single" w:sz="4" w:space="1" w:color="auto"/>
        </w:pBdr>
        <w:shd w:val="clear" w:color="auto" w:fill="FFFFFF"/>
        <w:spacing w:after="240" w:line="240" w:lineRule="auto"/>
        <w:jc w:val="both"/>
        <w:rPr>
          <w:rFonts w:ascii="Arial" w:hAnsi="Arial" w:cs="Arial"/>
          <w:b/>
          <w:color w:val="C00000"/>
          <w:lang w:eastAsia="en-AU"/>
        </w:rPr>
      </w:pPr>
      <w:r w:rsidRPr="008B0C4E">
        <w:rPr>
          <w:rFonts w:ascii="Arial" w:hAnsi="Arial" w:cs="Arial"/>
          <w:b/>
          <w:color w:val="C00000"/>
          <w:lang w:eastAsia="en-AU"/>
        </w:rPr>
        <w:t>Promoting social inclusion through increased workforce participation</w:t>
      </w:r>
    </w:p>
    <w:p w:rsidR="008B0C4E" w:rsidRPr="002B6FE9" w:rsidRDefault="008B0C4E" w:rsidP="008B0C4E">
      <w:pPr>
        <w:numPr>
          <w:ilvl w:val="0"/>
          <w:numId w:val="25"/>
        </w:numPr>
        <w:spacing w:after="240" w:line="240" w:lineRule="auto"/>
        <w:ind w:left="567" w:hanging="567"/>
        <w:jc w:val="both"/>
        <w:rPr>
          <w:rFonts w:ascii="Arial" w:eastAsiaTheme="minorHAnsi" w:hAnsi="Arial" w:cs="Arial"/>
        </w:rPr>
      </w:pPr>
      <w:r w:rsidRPr="008B0C4E">
        <w:rPr>
          <w:rFonts w:ascii="Arial" w:eastAsiaTheme="minorHAnsi" w:hAnsi="Arial" w:cs="Arial"/>
        </w:rPr>
        <w:t>The statutory criteria the Panel is required to have regard to in meeting the minimum wages objective also includes “</w:t>
      </w:r>
      <w:r w:rsidRPr="008B0C4E">
        <w:rPr>
          <w:rFonts w:ascii="Arial" w:hAnsi="Arial" w:cs="Arial"/>
          <w:color w:val="000000"/>
          <w:lang w:eastAsia="en-AU"/>
        </w:rPr>
        <w:t xml:space="preserve">promoting social inclusion through </w:t>
      </w:r>
      <w:r w:rsidRPr="002B6FE9">
        <w:rPr>
          <w:rFonts w:ascii="Arial" w:hAnsi="Arial" w:cs="Arial"/>
          <w:color w:val="000000"/>
          <w:lang w:eastAsia="en-AU"/>
        </w:rPr>
        <w:t>increased workforce participation”</w:t>
      </w:r>
      <w:r w:rsidR="00482C8C" w:rsidRPr="002B6FE9">
        <w:rPr>
          <w:rFonts w:ascii="Arial" w:hAnsi="Arial" w:cs="Arial"/>
          <w:color w:val="000000"/>
          <w:lang w:eastAsia="en-AU"/>
        </w:rPr>
        <w:t xml:space="preserve">. </w:t>
      </w:r>
    </w:p>
    <w:p w:rsidR="008B0C4E" w:rsidRPr="002B6FE9" w:rsidRDefault="004C7453" w:rsidP="008B3041">
      <w:pPr>
        <w:numPr>
          <w:ilvl w:val="0"/>
          <w:numId w:val="25"/>
        </w:numPr>
        <w:spacing w:after="240" w:line="240" w:lineRule="auto"/>
        <w:ind w:left="567" w:hanging="567"/>
        <w:jc w:val="both"/>
        <w:rPr>
          <w:rFonts w:ascii="Arial" w:eastAsiaTheme="minorHAnsi" w:hAnsi="Arial" w:cs="Arial"/>
        </w:rPr>
      </w:pPr>
      <w:r w:rsidRPr="002B6FE9">
        <w:rPr>
          <w:rFonts w:ascii="Arial" w:eastAsiaTheme="minorHAnsi" w:hAnsi="Arial" w:cs="Arial"/>
        </w:rPr>
        <w:t xml:space="preserve">In regard to </w:t>
      </w:r>
      <w:r w:rsidR="008C5333" w:rsidRPr="002B6FE9">
        <w:rPr>
          <w:rFonts w:ascii="Arial" w:eastAsiaTheme="minorHAnsi" w:hAnsi="Arial" w:cs="Arial"/>
        </w:rPr>
        <w:t>this issue</w:t>
      </w:r>
      <w:r w:rsidRPr="002B6FE9">
        <w:rPr>
          <w:rFonts w:ascii="Arial" w:eastAsiaTheme="minorHAnsi" w:hAnsi="Arial" w:cs="Arial"/>
        </w:rPr>
        <w:t>, t</w:t>
      </w:r>
      <w:r w:rsidR="00C5726D" w:rsidRPr="002B6FE9">
        <w:rPr>
          <w:rFonts w:ascii="Arial" w:eastAsiaTheme="minorHAnsi" w:hAnsi="Arial" w:cs="Arial"/>
        </w:rPr>
        <w:t xml:space="preserve">he </w:t>
      </w:r>
      <w:r w:rsidR="003D136C" w:rsidRPr="002B6FE9">
        <w:rPr>
          <w:rFonts w:ascii="Arial" w:eastAsiaTheme="minorHAnsi" w:hAnsi="Arial" w:cs="Arial"/>
        </w:rPr>
        <w:t>national participation rate continue</w:t>
      </w:r>
      <w:r w:rsidR="00C5726D" w:rsidRPr="002B6FE9">
        <w:rPr>
          <w:rFonts w:ascii="Arial" w:eastAsiaTheme="minorHAnsi" w:hAnsi="Arial" w:cs="Arial"/>
        </w:rPr>
        <w:t>s</w:t>
      </w:r>
      <w:r w:rsidR="003D136C" w:rsidRPr="002B6FE9">
        <w:rPr>
          <w:rFonts w:ascii="Arial" w:eastAsiaTheme="minorHAnsi" w:hAnsi="Arial" w:cs="Arial"/>
        </w:rPr>
        <w:t xml:space="preserve"> to increase </w:t>
      </w:r>
      <w:r w:rsidR="00C5726D" w:rsidRPr="002B6FE9">
        <w:rPr>
          <w:rFonts w:ascii="Arial" w:eastAsiaTheme="minorHAnsi" w:hAnsi="Arial" w:cs="Arial"/>
        </w:rPr>
        <w:t>and stood at 66.</w:t>
      </w:r>
      <w:r w:rsidR="002B6FE9" w:rsidRPr="002B6FE9">
        <w:rPr>
          <w:rFonts w:ascii="Arial" w:eastAsiaTheme="minorHAnsi" w:hAnsi="Arial" w:cs="Arial"/>
        </w:rPr>
        <w:t>0</w:t>
      </w:r>
      <w:r w:rsidR="00C5726D" w:rsidRPr="002B6FE9">
        <w:rPr>
          <w:rFonts w:ascii="Arial" w:eastAsiaTheme="minorHAnsi" w:hAnsi="Arial" w:cs="Arial"/>
        </w:rPr>
        <w:t xml:space="preserve"> per cent in </w:t>
      </w:r>
      <w:r w:rsidR="002B6FE9" w:rsidRPr="002B6FE9">
        <w:rPr>
          <w:rFonts w:ascii="Arial" w:eastAsiaTheme="minorHAnsi" w:hAnsi="Arial" w:cs="Arial"/>
        </w:rPr>
        <w:t>February</w:t>
      </w:r>
      <w:r w:rsidR="00582D43" w:rsidRPr="002B6FE9">
        <w:rPr>
          <w:rFonts w:ascii="Arial" w:eastAsiaTheme="minorHAnsi" w:hAnsi="Arial" w:cs="Arial"/>
        </w:rPr>
        <w:t xml:space="preserve"> </w:t>
      </w:r>
      <w:r w:rsidR="008B0C4E" w:rsidRPr="002B6FE9">
        <w:rPr>
          <w:rFonts w:ascii="Arial" w:eastAsiaTheme="minorHAnsi" w:hAnsi="Arial" w:cs="Arial"/>
        </w:rPr>
        <w:t>20</w:t>
      </w:r>
      <w:r w:rsidR="00416D88" w:rsidRPr="002B6FE9">
        <w:rPr>
          <w:rFonts w:ascii="Arial" w:eastAsiaTheme="minorHAnsi" w:hAnsi="Arial" w:cs="Arial"/>
        </w:rPr>
        <w:t>20</w:t>
      </w:r>
      <w:r w:rsidR="008B0C4E" w:rsidRPr="002B6FE9">
        <w:rPr>
          <w:rFonts w:ascii="Arial" w:eastAsiaTheme="minorHAnsi" w:hAnsi="Arial" w:cs="Arial"/>
        </w:rPr>
        <w:t xml:space="preserve">. </w:t>
      </w:r>
      <w:r w:rsidR="00773F85" w:rsidRPr="002B6FE9">
        <w:rPr>
          <w:rFonts w:ascii="Arial" w:eastAsiaTheme="minorHAnsi" w:hAnsi="Arial" w:cs="Arial"/>
        </w:rPr>
        <w:t xml:space="preserve">Australia’s </w:t>
      </w:r>
      <w:r w:rsidR="008B0C4E" w:rsidRPr="002B6FE9">
        <w:rPr>
          <w:rFonts w:ascii="Arial" w:eastAsiaTheme="minorHAnsi" w:hAnsi="Arial" w:cs="Arial"/>
        </w:rPr>
        <w:t>participation rate averaged 6</w:t>
      </w:r>
      <w:r w:rsidR="00416D88" w:rsidRPr="002B6FE9">
        <w:rPr>
          <w:rFonts w:ascii="Arial" w:eastAsiaTheme="minorHAnsi" w:hAnsi="Arial" w:cs="Arial"/>
        </w:rPr>
        <w:t>6</w:t>
      </w:r>
      <w:r w:rsidR="008B0C4E" w:rsidRPr="002B6FE9">
        <w:rPr>
          <w:rFonts w:ascii="Arial" w:eastAsiaTheme="minorHAnsi" w:hAnsi="Arial" w:cs="Arial"/>
        </w:rPr>
        <w:t>.</w:t>
      </w:r>
      <w:r w:rsidR="00416D88" w:rsidRPr="002B6FE9">
        <w:rPr>
          <w:rFonts w:ascii="Arial" w:eastAsiaTheme="minorHAnsi" w:hAnsi="Arial" w:cs="Arial"/>
        </w:rPr>
        <w:t>0</w:t>
      </w:r>
      <w:r w:rsidR="00C5726D" w:rsidRPr="002B6FE9">
        <w:rPr>
          <w:rFonts w:ascii="Arial" w:eastAsiaTheme="minorHAnsi" w:hAnsi="Arial" w:cs="Arial"/>
        </w:rPr>
        <w:t> </w:t>
      </w:r>
      <w:r w:rsidR="008B0C4E" w:rsidRPr="002B6FE9">
        <w:rPr>
          <w:rFonts w:ascii="Arial" w:eastAsiaTheme="minorHAnsi" w:hAnsi="Arial" w:cs="Arial"/>
        </w:rPr>
        <w:t>per</w:t>
      </w:r>
      <w:r w:rsidR="00C5726D" w:rsidRPr="002B6FE9">
        <w:rPr>
          <w:rFonts w:ascii="Arial" w:eastAsiaTheme="minorHAnsi" w:hAnsi="Arial" w:cs="Arial"/>
        </w:rPr>
        <w:t> </w:t>
      </w:r>
      <w:r w:rsidR="008B0C4E" w:rsidRPr="002B6FE9">
        <w:rPr>
          <w:rFonts w:ascii="Arial" w:eastAsiaTheme="minorHAnsi" w:hAnsi="Arial" w:cs="Arial"/>
        </w:rPr>
        <w:t xml:space="preserve">cent in the year to </w:t>
      </w:r>
      <w:r w:rsidR="002B6FE9" w:rsidRPr="002B6FE9">
        <w:rPr>
          <w:rFonts w:ascii="Arial" w:eastAsiaTheme="minorHAnsi" w:hAnsi="Arial" w:cs="Arial"/>
        </w:rPr>
        <w:t>February</w:t>
      </w:r>
      <w:r w:rsidR="008B0C4E" w:rsidRPr="002B6FE9">
        <w:rPr>
          <w:rFonts w:ascii="Arial" w:eastAsiaTheme="minorHAnsi" w:hAnsi="Arial" w:cs="Arial"/>
        </w:rPr>
        <w:t> 20</w:t>
      </w:r>
      <w:r w:rsidR="00416D88" w:rsidRPr="002B6FE9">
        <w:rPr>
          <w:rFonts w:ascii="Arial" w:eastAsiaTheme="minorHAnsi" w:hAnsi="Arial" w:cs="Arial"/>
        </w:rPr>
        <w:t>20</w:t>
      </w:r>
      <w:r w:rsidR="008B0C4E" w:rsidRPr="002B6FE9">
        <w:rPr>
          <w:rFonts w:ascii="Arial" w:eastAsiaTheme="minorHAnsi" w:hAnsi="Arial" w:cs="Arial"/>
        </w:rPr>
        <w:t>, up from an average of 65.</w:t>
      </w:r>
      <w:r w:rsidR="003D136C" w:rsidRPr="002B6FE9">
        <w:rPr>
          <w:rFonts w:ascii="Arial" w:eastAsiaTheme="minorHAnsi" w:hAnsi="Arial" w:cs="Arial"/>
        </w:rPr>
        <w:t>6</w:t>
      </w:r>
      <w:r w:rsidR="008B0C4E" w:rsidRPr="002B6FE9">
        <w:rPr>
          <w:rFonts w:ascii="Arial" w:eastAsiaTheme="minorHAnsi" w:hAnsi="Arial" w:cs="Arial"/>
        </w:rPr>
        <w:t xml:space="preserve"> per cent in the year to </w:t>
      </w:r>
      <w:r w:rsidR="002B6FE9" w:rsidRPr="002B6FE9">
        <w:rPr>
          <w:rFonts w:ascii="Arial" w:eastAsiaTheme="minorHAnsi" w:hAnsi="Arial" w:cs="Arial"/>
        </w:rPr>
        <w:t>February</w:t>
      </w:r>
      <w:r w:rsidR="00416D88" w:rsidRPr="002B6FE9">
        <w:rPr>
          <w:rFonts w:ascii="Arial" w:eastAsiaTheme="minorHAnsi" w:hAnsi="Arial" w:cs="Arial"/>
        </w:rPr>
        <w:t xml:space="preserve"> </w:t>
      </w:r>
      <w:r w:rsidR="008B0C4E" w:rsidRPr="002B6FE9">
        <w:rPr>
          <w:rFonts w:ascii="Arial" w:eastAsiaTheme="minorHAnsi" w:hAnsi="Arial" w:cs="Arial"/>
        </w:rPr>
        <w:t>20</w:t>
      </w:r>
      <w:r w:rsidR="00416D88" w:rsidRPr="002B6FE9">
        <w:rPr>
          <w:rFonts w:ascii="Arial" w:eastAsiaTheme="minorHAnsi" w:hAnsi="Arial" w:cs="Arial"/>
        </w:rPr>
        <w:t>19</w:t>
      </w:r>
      <w:r w:rsidR="008B0C4E" w:rsidRPr="002B6FE9">
        <w:rPr>
          <w:rFonts w:ascii="Arial" w:eastAsiaTheme="minorHAnsi" w:hAnsi="Arial" w:cs="Arial"/>
        </w:rPr>
        <w:t>.</w:t>
      </w:r>
      <w:r w:rsidR="008B0C4E" w:rsidRPr="002B6FE9">
        <w:rPr>
          <w:rFonts w:ascii="Arial" w:eastAsiaTheme="minorHAnsi" w:hAnsi="Arial" w:cs="Arial"/>
          <w:vertAlign w:val="superscript"/>
        </w:rPr>
        <w:footnoteReference w:id="29"/>
      </w:r>
      <w:r w:rsidR="008B0C4E" w:rsidRPr="002B6FE9">
        <w:rPr>
          <w:rFonts w:ascii="Arial" w:eastAsiaTheme="minorHAnsi" w:hAnsi="Arial" w:cs="Arial"/>
        </w:rPr>
        <w:t xml:space="preserve"> </w:t>
      </w:r>
    </w:p>
    <w:p w:rsidR="00C5726D" w:rsidRDefault="008B0C4E" w:rsidP="008B3041">
      <w:pPr>
        <w:numPr>
          <w:ilvl w:val="0"/>
          <w:numId w:val="25"/>
        </w:numPr>
        <w:spacing w:after="240" w:line="240" w:lineRule="auto"/>
        <w:ind w:left="567" w:hanging="567"/>
        <w:jc w:val="both"/>
        <w:rPr>
          <w:rFonts w:ascii="Arial" w:eastAsiaTheme="minorHAnsi" w:hAnsi="Arial" w:cs="Arial"/>
        </w:rPr>
      </w:pPr>
      <w:r w:rsidRPr="00C5726D">
        <w:rPr>
          <w:rFonts w:ascii="Arial" w:eastAsiaTheme="minorHAnsi" w:hAnsi="Arial" w:cs="Arial"/>
        </w:rPr>
        <w:t>While the participation rate is influenced by a variety of factors, fair and equitable increases to minimum and award wages can help to encourage people into the labour force, particularly those with a marginal attachment to it.</w:t>
      </w:r>
      <w:r w:rsidR="00936A4A" w:rsidRPr="00C5726D">
        <w:rPr>
          <w:rFonts w:ascii="Arial" w:eastAsiaTheme="minorHAnsi" w:hAnsi="Arial" w:cs="Arial"/>
        </w:rPr>
        <w:t xml:space="preserve"> It can also help to foster a degree of community cohesion, </w:t>
      </w:r>
      <w:r w:rsidR="00A43C4A" w:rsidRPr="00C5726D">
        <w:rPr>
          <w:rFonts w:ascii="Arial" w:eastAsiaTheme="minorHAnsi" w:hAnsi="Arial" w:cs="Arial"/>
        </w:rPr>
        <w:t xml:space="preserve">by enabling low paid workers to </w:t>
      </w:r>
      <w:r w:rsidR="00582D43" w:rsidRPr="00C5726D">
        <w:rPr>
          <w:rFonts w:ascii="Arial" w:eastAsiaTheme="minorHAnsi" w:hAnsi="Arial" w:cs="Arial"/>
        </w:rPr>
        <w:t xml:space="preserve">participate in </w:t>
      </w:r>
      <w:r w:rsidR="00C5726D">
        <w:rPr>
          <w:rFonts w:ascii="Arial" w:eastAsiaTheme="minorHAnsi" w:hAnsi="Arial" w:cs="Arial"/>
        </w:rPr>
        <w:t>social</w:t>
      </w:r>
      <w:r w:rsidR="00C5726D" w:rsidRPr="00C5726D">
        <w:rPr>
          <w:rFonts w:ascii="Arial" w:eastAsiaTheme="minorHAnsi" w:hAnsi="Arial" w:cs="Arial"/>
        </w:rPr>
        <w:t xml:space="preserve"> activities, such as recreational and sporting pursuits.  </w:t>
      </w:r>
    </w:p>
    <w:p w:rsidR="000067AF" w:rsidRPr="007924A1" w:rsidRDefault="00490B43" w:rsidP="000067AF">
      <w:pPr>
        <w:numPr>
          <w:ilvl w:val="0"/>
          <w:numId w:val="25"/>
        </w:numPr>
        <w:spacing w:after="240" w:line="240" w:lineRule="auto"/>
        <w:ind w:left="567" w:hanging="567"/>
        <w:jc w:val="both"/>
        <w:rPr>
          <w:rFonts w:ascii="Arial" w:eastAsiaTheme="minorHAnsi" w:hAnsi="Arial" w:cs="Arial"/>
        </w:rPr>
      </w:pPr>
      <w:r>
        <w:rPr>
          <w:rFonts w:ascii="Arial" w:eastAsiaTheme="minorHAnsi" w:hAnsi="Arial" w:cs="Arial"/>
        </w:rPr>
        <w:lastRenderedPageBreak/>
        <w:t>T</w:t>
      </w:r>
      <w:r w:rsidR="008B0C4E" w:rsidRPr="007924A1">
        <w:rPr>
          <w:rFonts w:ascii="Arial" w:eastAsiaTheme="minorHAnsi" w:hAnsi="Arial" w:cs="Arial"/>
        </w:rPr>
        <w:t>otal employment continued to grow steadily over the past 12</w:t>
      </w:r>
      <w:r w:rsidR="008C5333" w:rsidRPr="007924A1">
        <w:rPr>
          <w:rFonts w:ascii="Arial" w:eastAsiaTheme="minorHAnsi" w:hAnsi="Arial" w:cs="Arial"/>
        </w:rPr>
        <w:t> </w:t>
      </w:r>
      <w:r w:rsidR="008B0C4E" w:rsidRPr="007924A1">
        <w:rPr>
          <w:rFonts w:ascii="Arial" w:eastAsiaTheme="minorHAnsi" w:hAnsi="Arial" w:cs="Arial"/>
        </w:rPr>
        <w:t>months</w:t>
      </w:r>
      <w:r w:rsidR="00773F85" w:rsidRPr="007924A1">
        <w:rPr>
          <w:rFonts w:ascii="Arial" w:eastAsiaTheme="minorHAnsi" w:hAnsi="Arial" w:cs="Arial"/>
        </w:rPr>
        <w:t xml:space="preserve"> in </w:t>
      </w:r>
      <w:r w:rsidR="00383D74" w:rsidRPr="007924A1">
        <w:rPr>
          <w:rFonts w:ascii="Arial" w:eastAsiaTheme="minorHAnsi" w:hAnsi="Arial" w:cs="Arial"/>
        </w:rPr>
        <w:t>tandem</w:t>
      </w:r>
      <w:r w:rsidR="00773F85" w:rsidRPr="007924A1">
        <w:rPr>
          <w:rFonts w:ascii="Arial" w:eastAsiaTheme="minorHAnsi" w:hAnsi="Arial" w:cs="Arial"/>
        </w:rPr>
        <w:t xml:space="preserve"> with increased rates of participation.</w:t>
      </w:r>
      <w:r w:rsidR="00C5726D" w:rsidRPr="007924A1">
        <w:rPr>
          <w:rFonts w:ascii="Arial" w:eastAsiaTheme="minorHAnsi" w:hAnsi="Arial" w:cs="Arial"/>
        </w:rPr>
        <w:t xml:space="preserve"> </w:t>
      </w:r>
      <w:r w:rsidR="008C5333" w:rsidRPr="007924A1">
        <w:rPr>
          <w:rFonts w:ascii="Arial" w:eastAsiaTheme="minorHAnsi" w:hAnsi="Arial" w:cs="Arial"/>
        </w:rPr>
        <w:t>T</w:t>
      </w:r>
      <w:r w:rsidR="008B0C4E" w:rsidRPr="007924A1">
        <w:rPr>
          <w:rFonts w:ascii="Arial" w:eastAsiaTheme="minorHAnsi" w:hAnsi="Arial" w:cs="Arial"/>
        </w:rPr>
        <w:t>otal employment increased by an annual average rate of 2.</w:t>
      </w:r>
      <w:r w:rsidR="007924A1" w:rsidRPr="007924A1">
        <w:rPr>
          <w:rFonts w:ascii="Arial" w:eastAsiaTheme="minorHAnsi" w:hAnsi="Arial" w:cs="Arial"/>
        </w:rPr>
        <w:t>2</w:t>
      </w:r>
      <w:r w:rsidR="00582D43" w:rsidRPr="007924A1">
        <w:rPr>
          <w:rFonts w:ascii="Arial" w:eastAsiaTheme="minorHAnsi" w:hAnsi="Arial" w:cs="Arial"/>
        </w:rPr>
        <w:t> </w:t>
      </w:r>
      <w:r w:rsidR="008B0C4E" w:rsidRPr="007924A1">
        <w:rPr>
          <w:rFonts w:ascii="Arial" w:eastAsiaTheme="minorHAnsi" w:hAnsi="Arial" w:cs="Arial"/>
        </w:rPr>
        <w:t>per</w:t>
      </w:r>
      <w:r w:rsidR="00582D43" w:rsidRPr="007924A1">
        <w:rPr>
          <w:rFonts w:ascii="Arial" w:eastAsiaTheme="minorHAnsi" w:hAnsi="Arial" w:cs="Arial"/>
        </w:rPr>
        <w:t> </w:t>
      </w:r>
      <w:r w:rsidR="008B0C4E" w:rsidRPr="007924A1">
        <w:rPr>
          <w:rFonts w:ascii="Arial" w:eastAsiaTheme="minorHAnsi" w:hAnsi="Arial" w:cs="Arial"/>
        </w:rPr>
        <w:t>cent across Australia in the 12</w:t>
      </w:r>
      <w:r w:rsidR="008C5333" w:rsidRPr="007924A1">
        <w:rPr>
          <w:rFonts w:ascii="Arial" w:eastAsiaTheme="minorHAnsi" w:hAnsi="Arial" w:cs="Arial"/>
        </w:rPr>
        <w:t> </w:t>
      </w:r>
      <w:r w:rsidR="008B0C4E" w:rsidRPr="007924A1">
        <w:rPr>
          <w:rFonts w:ascii="Arial" w:eastAsiaTheme="minorHAnsi" w:hAnsi="Arial" w:cs="Arial"/>
        </w:rPr>
        <w:t xml:space="preserve">months to </w:t>
      </w:r>
      <w:r w:rsidR="007924A1" w:rsidRPr="007924A1">
        <w:rPr>
          <w:rFonts w:ascii="Arial" w:eastAsiaTheme="minorHAnsi" w:hAnsi="Arial" w:cs="Arial"/>
        </w:rPr>
        <w:t>February</w:t>
      </w:r>
      <w:r w:rsidR="00416D88" w:rsidRPr="007924A1">
        <w:rPr>
          <w:rFonts w:ascii="Arial" w:eastAsiaTheme="minorHAnsi" w:hAnsi="Arial" w:cs="Arial"/>
        </w:rPr>
        <w:t xml:space="preserve"> </w:t>
      </w:r>
      <w:r w:rsidR="008B0C4E" w:rsidRPr="007924A1">
        <w:rPr>
          <w:rFonts w:ascii="Arial" w:eastAsiaTheme="minorHAnsi" w:hAnsi="Arial" w:cs="Arial"/>
        </w:rPr>
        <w:t>20</w:t>
      </w:r>
      <w:r w:rsidR="00416D88" w:rsidRPr="007924A1">
        <w:rPr>
          <w:rFonts w:ascii="Arial" w:eastAsiaTheme="minorHAnsi" w:hAnsi="Arial" w:cs="Arial"/>
        </w:rPr>
        <w:t>20</w:t>
      </w:r>
      <w:r w:rsidR="00773F85" w:rsidRPr="007924A1">
        <w:rPr>
          <w:rFonts w:ascii="Arial" w:eastAsiaTheme="minorHAnsi" w:hAnsi="Arial" w:cs="Arial"/>
        </w:rPr>
        <w:t>, while u</w:t>
      </w:r>
      <w:r w:rsidR="00582D43" w:rsidRPr="007924A1">
        <w:rPr>
          <w:rFonts w:ascii="Arial" w:eastAsiaTheme="minorHAnsi" w:hAnsi="Arial" w:cs="Arial"/>
        </w:rPr>
        <w:t>nemployment remains relatively subdued</w:t>
      </w:r>
      <w:r w:rsidR="00773F85" w:rsidRPr="007924A1">
        <w:rPr>
          <w:rFonts w:ascii="Arial" w:eastAsiaTheme="minorHAnsi" w:hAnsi="Arial" w:cs="Arial"/>
        </w:rPr>
        <w:t xml:space="preserve"> at </w:t>
      </w:r>
      <w:r w:rsidR="008B0C4E" w:rsidRPr="007924A1">
        <w:rPr>
          <w:rFonts w:ascii="Arial" w:eastAsiaTheme="minorHAnsi" w:hAnsi="Arial" w:cs="Arial"/>
        </w:rPr>
        <w:t>5.</w:t>
      </w:r>
      <w:r w:rsidR="007924A1" w:rsidRPr="007924A1">
        <w:rPr>
          <w:rFonts w:ascii="Arial" w:eastAsiaTheme="minorHAnsi" w:hAnsi="Arial" w:cs="Arial"/>
        </w:rPr>
        <w:t>1</w:t>
      </w:r>
      <w:r w:rsidR="00582D43" w:rsidRPr="007924A1">
        <w:rPr>
          <w:rFonts w:ascii="Arial" w:eastAsiaTheme="minorHAnsi" w:hAnsi="Arial" w:cs="Arial"/>
        </w:rPr>
        <w:t> </w:t>
      </w:r>
      <w:r w:rsidR="008B0C4E" w:rsidRPr="007924A1">
        <w:rPr>
          <w:rFonts w:ascii="Arial" w:eastAsiaTheme="minorHAnsi" w:hAnsi="Arial" w:cs="Arial"/>
        </w:rPr>
        <w:t>per</w:t>
      </w:r>
      <w:r w:rsidR="00582D43" w:rsidRPr="007924A1">
        <w:rPr>
          <w:rFonts w:ascii="Arial" w:eastAsiaTheme="minorHAnsi" w:hAnsi="Arial" w:cs="Arial"/>
        </w:rPr>
        <w:t> </w:t>
      </w:r>
      <w:r w:rsidR="008B0C4E" w:rsidRPr="007924A1">
        <w:rPr>
          <w:rFonts w:ascii="Arial" w:eastAsiaTheme="minorHAnsi" w:hAnsi="Arial" w:cs="Arial"/>
        </w:rPr>
        <w:t>cent.</w:t>
      </w:r>
      <w:r w:rsidR="008B0C4E" w:rsidRPr="007924A1">
        <w:rPr>
          <w:rFonts w:ascii="Arial" w:eastAsiaTheme="minorHAnsi" w:hAnsi="Arial" w:cs="Arial"/>
          <w:vertAlign w:val="superscript"/>
        </w:rPr>
        <w:footnoteReference w:id="30"/>
      </w:r>
      <w:r w:rsidR="008B0C4E" w:rsidRPr="007924A1">
        <w:rPr>
          <w:rFonts w:ascii="Arial" w:eastAsiaTheme="minorHAnsi" w:hAnsi="Arial" w:cs="Arial"/>
        </w:rPr>
        <w:t xml:space="preserve"> </w:t>
      </w:r>
    </w:p>
    <w:p w:rsidR="008C5333" w:rsidRPr="008C5333" w:rsidRDefault="00773F85" w:rsidP="008C5333">
      <w:pPr>
        <w:numPr>
          <w:ilvl w:val="0"/>
          <w:numId w:val="25"/>
        </w:numPr>
        <w:spacing w:after="240" w:line="240" w:lineRule="auto"/>
        <w:ind w:left="567" w:hanging="567"/>
        <w:jc w:val="both"/>
        <w:rPr>
          <w:rFonts w:ascii="Arial" w:eastAsiaTheme="minorHAnsi" w:hAnsi="Arial" w:cs="Arial"/>
        </w:rPr>
      </w:pPr>
      <w:r>
        <w:rPr>
          <w:rFonts w:ascii="Arial" w:eastAsiaTheme="minorHAnsi" w:hAnsi="Arial" w:cs="Arial"/>
        </w:rPr>
        <w:t xml:space="preserve">Higher levels of </w:t>
      </w:r>
      <w:r w:rsidR="00F03048">
        <w:t xml:space="preserve">workforce participation contributes to national productivity and economic growth. </w:t>
      </w:r>
      <w:r w:rsidR="00077A76">
        <w:t xml:space="preserve">Greater </w:t>
      </w:r>
      <w:r w:rsidR="000067AF">
        <w:t>participati</w:t>
      </w:r>
      <w:r w:rsidR="00077A76">
        <w:t>on</w:t>
      </w:r>
      <w:r w:rsidR="000067AF">
        <w:t xml:space="preserve"> in the </w:t>
      </w:r>
      <w:r w:rsidR="00997600">
        <w:t>paid employment</w:t>
      </w:r>
      <w:r w:rsidR="000067AF">
        <w:t xml:space="preserve"> helps to </w:t>
      </w:r>
      <w:r w:rsidR="00077A76">
        <w:t xml:space="preserve">lift household disposable incomes, providing enhanced financial security for affected workers. It also </w:t>
      </w:r>
      <w:r w:rsidR="00AC547C">
        <w:t xml:space="preserve">facilitates higher levels of </w:t>
      </w:r>
      <w:r w:rsidR="00077A76">
        <w:t>consumption and spending, w</w:t>
      </w:r>
      <w:r>
        <w:t>hich has</w:t>
      </w:r>
      <w:r w:rsidR="00077A76">
        <w:t xml:space="preserve"> </w:t>
      </w:r>
      <w:r>
        <w:t>discernible</w:t>
      </w:r>
      <w:r w:rsidR="00AC547C">
        <w:t xml:space="preserve"> </w:t>
      </w:r>
      <w:r w:rsidR="00077A76">
        <w:t xml:space="preserve">flow on benefits for </w:t>
      </w:r>
      <w:r w:rsidR="00AC547C">
        <w:t>the economy as a whole.</w:t>
      </w:r>
    </w:p>
    <w:p w:rsidR="00025D69" w:rsidRPr="000067AF" w:rsidRDefault="008C5333" w:rsidP="00490B43">
      <w:pPr>
        <w:numPr>
          <w:ilvl w:val="0"/>
          <w:numId w:val="25"/>
        </w:numPr>
        <w:spacing w:after="240" w:line="240" w:lineRule="auto"/>
        <w:ind w:left="567" w:hanging="567"/>
        <w:jc w:val="both"/>
        <w:rPr>
          <w:rFonts w:ascii="Arial" w:eastAsiaTheme="minorHAnsi" w:hAnsi="Arial" w:cs="Arial"/>
        </w:rPr>
      </w:pPr>
      <w:r>
        <w:rPr>
          <w:rFonts w:ascii="Arial" w:eastAsiaTheme="minorHAnsi" w:hAnsi="Arial" w:cs="Arial"/>
        </w:rPr>
        <w:t xml:space="preserve">By awarding a fair and sustainable increase in minimum and award wages, the Panel can help to encourage increased workforce participation, </w:t>
      </w:r>
      <w:r w:rsidR="00997600">
        <w:rPr>
          <w:rFonts w:ascii="Arial" w:eastAsiaTheme="minorHAnsi" w:hAnsi="Arial" w:cs="Arial"/>
        </w:rPr>
        <w:t xml:space="preserve">cultivating greater </w:t>
      </w:r>
      <w:r>
        <w:rPr>
          <w:rFonts w:ascii="Arial" w:eastAsiaTheme="minorHAnsi" w:hAnsi="Arial" w:cs="Arial"/>
        </w:rPr>
        <w:t xml:space="preserve">social inclusion </w:t>
      </w:r>
      <w:r w:rsidR="00997600">
        <w:rPr>
          <w:rFonts w:ascii="Arial" w:eastAsiaTheme="minorHAnsi" w:hAnsi="Arial" w:cs="Arial"/>
        </w:rPr>
        <w:t xml:space="preserve">in the process. </w:t>
      </w:r>
      <w:r>
        <w:rPr>
          <w:rFonts w:ascii="Arial" w:eastAsiaTheme="minorHAnsi" w:hAnsi="Arial" w:cs="Arial"/>
        </w:rPr>
        <w:t xml:space="preserve"> </w:t>
      </w:r>
      <w:r w:rsidR="00AC547C">
        <w:t xml:space="preserve"> </w:t>
      </w:r>
    </w:p>
    <w:p w:rsidR="008B0C4E" w:rsidRPr="008B0C4E" w:rsidRDefault="008B0C4E" w:rsidP="00E26BBE">
      <w:pPr>
        <w:pBdr>
          <w:bottom w:val="single" w:sz="4" w:space="1" w:color="auto"/>
        </w:pBdr>
        <w:tabs>
          <w:tab w:val="num" w:pos="600"/>
        </w:tabs>
        <w:spacing w:after="240" w:line="240" w:lineRule="auto"/>
        <w:jc w:val="both"/>
        <w:rPr>
          <w:rFonts w:ascii="Arial" w:hAnsi="Arial" w:cs="Arial"/>
          <w:b/>
          <w:color w:val="C00000"/>
          <w:lang w:val="en-US"/>
        </w:rPr>
      </w:pPr>
      <w:r w:rsidRPr="008B0C4E">
        <w:rPr>
          <w:rFonts w:ascii="Arial" w:eastAsiaTheme="minorHAnsi" w:hAnsi="Arial" w:cs="Arial"/>
          <w:b/>
          <w:color w:val="C00000"/>
        </w:rPr>
        <w:t>Equal remuneration and the gender pay gap</w:t>
      </w:r>
    </w:p>
    <w:p w:rsidR="008B0C4E" w:rsidRPr="00CC7866" w:rsidRDefault="008B0C4E" w:rsidP="008B0C4E">
      <w:pPr>
        <w:numPr>
          <w:ilvl w:val="0"/>
          <w:numId w:val="25"/>
        </w:numPr>
        <w:spacing w:after="240" w:line="240" w:lineRule="auto"/>
        <w:ind w:left="567" w:hanging="567"/>
        <w:jc w:val="both"/>
        <w:rPr>
          <w:rFonts w:ascii="Arial" w:hAnsi="Arial" w:cs="Arial"/>
          <w:lang w:val="en-US"/>
        </w:rPr>
      </w:pPr>
      <w:r w:rsidRPr="008B0C4E">
        <w:rPr>
          <w:rFonts w:ascii="Arial" w:hAnsi="Arial" w:cs="Arial"/>
          <w:lang w:val="en-US"/>
        </w:rPr>
        <w:t xml:space="preserve">An important consideration in both the modern awards objective and the minimum wages objective </w:t>
      </w:r>
      <w:r w:rsidRPr="008B0C4E">
        <w:rPr>
          <w:rFonts w:ascii="Arial" w:hAnsi="Arial" w:cs="Arial"/>
        </w:rPr>
        <w:t xml:space="preserve">is the need to promote the principle of equal remuneration for work </w:t>
      </w:r>
      <w:r w:rsidRPr="00CC7866">
        <w:rPr>
          <w:rFonts w:ascii="Arial" w:hAnsi="Arial" w:cs="Arial"/>
        </w:rPr>
        <w:t xml:space="preserve">of equal or comparable value. </w:t>
      </w:r>
    </w:p>
    <w:p w:rsidR="00CC7866" w:rsidRPr="00CC7866" w:rsidRDefault="008B0C4E" w:rsidP="008B0C4E">
      <w:pPr>
        <w:numPr>
          <w:ilvl w:val="0"/>
          <w:numId w:val="25"/>
        </w:numPr>
        <w:spacing w:after="240" w:line="240" w:lineRule="auto"/>
        <w:ind w:left="567" w:hanging="567"/>
        <w:jc w:val="both"/>
        <w:rPr>
          <w:rFonts w:ascii="Arial" w:hAnsi="Arial" w:cs="Arial"/>
          <w:lang w:val="en-US"/>
        </w:rPr>
      </w:pPr>
      <w:r w:rsidRPr="00CC7866">
        <w:rPr>
          <w:rFonts w:ascii="Arial" w:hAnsi="Arial" w:cs="Arial"/>
          <w:lang w:val="en-US"/>
        </w:rPr>
        <w:t xml:space="preserve">As noted by the FWC in </w:t>
      </w:r>
      <w:r w:rsidR="00CC7866">
        <w:rPr>
          <w:rFonts w:ascii="Arial" w:hAnsi="Arial" w:cs="Arial"/>
          <w:lang w:val="en-US"/>
        </w:rPr>
        <w:t xml:space="preserve">last year’s </w:t>
      </w:r>
      <w:r w:rsidRPr="00CC7866">
        <w:rPr>
          <w:rFonts w:ascii="Arial" w:hAnsi="Arial" w:cs="Arial"/>
          <w:lang w:val="en-US"/>
        </w:rPr>
        <w:t>AWR Decision</w:t>
      </w:r>
      <w:r w:rsidR="00CC7866" w:rsidRPr="00CC7866">
        <w:rPr>
          <w:rFonts w:ascii="Arial" w:hAnsi="Arial" w:cs="Arial"/>
          <w:lang w:val="en-US"/>
        </w:rPr>
        <w:t xml:space="preserve">: </w:t>
      </w:r>
    </w:p>
    <w:p w:rsidR="008B0C4E" w:rsidRPr="00CC7866" w:rsidRDefault="00287975" w:rsidP="00695AA5">
      <w:pPr>
        <w:spacing w:after="240" w:line="240" w:lineRule="auto"/>
        <w:ind w:left="851" w:right="284"/>
        <w:jc w:val="both"/>
        <w:rPr>
          <w:rFonts w:ascii="Arial" w:hAnsi="Arial" w:cs="Arial"/>
          <w:sz w:val="20"/>
          <w:szCs w:val="20"/>
          <w:lang w:val="en-US"/>
        </w:rPr>
      </w:pPr>
      <w:r>
        <w:rPr>
          <w:sz w:val="20"/>
          <w:szCs w:val="20"/>
        </w:rPr>
        <w:t>“</w:t>
      </w:r>
      <w:r w:rsidR="00CC7866" w:rsidRPr="00CC7866">
        <w:rPr>
          <w:sz w:val="20"/>
          <w:szCs w:val="20"/>
        </w:rPr>
        <w:t>Women are disproportionately represented among the low paid and award</w:t>
      </w:r>
      <w:r w:rsidR="0026586F">
        <w:rPr>
          <w:sz w:val="20"/>
          <w:szCs w:val="20"/>
        </w:rPr>
        <w:t>-</w:t>
      </w:r>
      <w:r w:rsidR="00CC7866" w:rsidRPr="00CC7866">
        <w:rPr>
          <w:sz w:val="20"/>
          <w:szCs w:val="20"/>
        </w:rPr>
        <w:t>reliant, hence, an increase in minimum wages is likely to promote gender pay equity. Increases in the NMW and modern award minimum wages would be likely to have a relatively small, but nonetheless beneficial, effect on the gender pay gap</w:t>
      </w:r>
      <w:r w:rsidR="002F4D40">
        <w:rPr>
          <w:sz w:val="20"/>
          <w:szCs w:val="20"/>
        </w:rPr>
        <w:t>…</w:t>
      </w:r>
      <w:r>
        <w:rPr>
          <w:sz w:val="20"/>
          <w:szCs w:val="20"/>
        </w:rPr>
        <w:t>”</w:t>
      </w:r>
      <w:r w:rsidR="008B0C4E" w:rsidRPr="00CC7866">
        <w:rPr>
          <w:rFonts w:ascii="Arial" w:hAnsi="Arial" w:cs="Arial"/>
          <w:sz w:val="20"/>
          <w:szCs w:val="20"/>
          <w:vertAlign w:val="superscript"/>
          <w:lang w:val="en-US"/>
        </w:rPr>
        <w:footnoteReference w:id="31"/>
      </w:r>
    </w:p>
    <w:p w:rsidR="008B0C4E" w:rsidRPr="00AD6BA8" w:rsidRDefault="008B0C4E" w:rsidP="008B0C4E">
      <w:pPr>
        <w:numPr>
          <w:ilvl w:val="0"/>
          <w:numId w:val="25"/>
        </w:numPr>
        <w:spacing w:after="240" w:line="240" w:lineRule="auto"/>
        <w:ind w:left="567" w:hanging="567"/>
        <w:jc w:val="both"/>
        <w:rPr>
          <w:rFonts w:ascii="Arial" w:hAnsi="Arial" w:cs="Arial"/>
          <w:lang w:val="en-US"/>
        </w:rPr>
      </w:pPr>
      <w:r w:rsidRPr="00AD6BA8">
        <w:rPr>
          <w:rFonts w:ascii="Arial" w:hAnsi="Arial" w:cs="Arial"/>
          <w:lang w:val="en-US"/>
        </w:rPr>
        <w:t>The Western Australian Government concurs with the FWC’s observation that</w:t>
      </w:r>
      <w:r w:rsidR="00590725" w:rsidRPr="00AD6BA8">
        <w:rPr>
          <w:rFonts w:ascii="Arial" w:hAnsi="Arial" w:cs="Arial"/>
          <w:lang w:val="en-US"/>
        </w:rPr>
        <w:t xml:space="preserve"> increases in minimum and award wages provide some benefit </w:t>
      </w:r>
      <w:r w:rsidR="00AD6BA8" w:rsidRPr="00AD6BA8">
        <w:rPr>
          <w:rFonts w:ascii="Arial" w:hAnsi="Arial" w:cs="Arial"/>
          <w:lang w:val="en-US"/>
        </w:rPr>
        <w:t xml:space="preserve">in reducing gender pay inequality. </w:t>
      </w:r>
    </w:p>
    <w:p w:rsidR="008B0C4E" w:rsidRPr="00922D6E" w:rsidRDefault="00E8059E" w:rsidP="008B0C4E">
      <w:pPr>
        <w:numPr>
          <w:ilvl w:val="0"/>
          <w:numId w:val="25"/>
        </w:numPr>
        <w:spacing w:after="240" w:line="240" w:lineRule="auto"/>
        <w:ind w:left="567" w:hanging="567"/>
        <w:jc w:val="both"/>
        <w:rPr>
          <w:rFonts w:ascii="Arial" w:hAnsi="Arial" w:cs="Arial"/>
          <w:lang w:val="en-US"/>
        </w:rPr>
      </w:pPr>
      <w:r>
        <w:rPr>
          <w:rFonts w:ascii="Arial" w:hAnsi="Arial" w:cs="Arial"/>
          <w:lang w:val="en-US"/>
        </w:rPr>
        <w:t xml:space="preserve">As at </w:t>
      </w:r>
      <w:r w:rsidRPr="00922D6E">
        <w:rPr>
          <w:rFonts w:ascii="Arial" w:hAnsi="Arial" w:cs="Arial"/>
          <w:lang w:val="en-US"/>
        </w:rPr>
        <w:t xml:space="preserve">November 2019, the gender </w:t>
      </w:r>
      <w:r w:rsidR="007A35AC" w:rsidRPr="00922D6E">
        <w:rPr>
          <w:rFonts w:ascii="Arial" w:hAnsi="Arial" w:cs="Arial"/>
          <w:lang w:val="en-US"/>
        </w:rPr>
        <w:t>pay gap (as m</w:t>
      </w:r>
      <w:r w:rsidR="008B0C4E" w:rsidRPr="00922D6E">
        <w:rPr>
          <w:rFonts w:ascii="Arial" w:hAnsi="Arial" w:cs="Arial"/>
          <w:lang w:val="en-US"/>
        </w:rPr>
        <w:t>easured by Average Weekly Ordinary Time Earnings (</w:t>
      </w:r>
      <w:r w:rsidR="008B0C4E" w:rsidRPr="00922D6E">
        <w:rPr>
          <w:rFonts w:ascii="Arial" w:hAnsi="Arial" w:cs="Arial"/>
          <w:b/>
          <w:lang w:val="en-US"/>
        </w:rPr>
        <w:t>AWOTE</w:t>
      </w:r>
      <w:r w:rsidR="008B0C4E" w:rsidRPr="00922D6E">
        <w:rPr>
          <w:rFonts w:ascii="Arial" w:hAnsi="Arial" w:cs="Arial"/>
          <w:lang w:val="en-US"/>
        </w:rPr>
        <w:t>)</w:t>
      </w:r>
      <w:r w:rsidR="007A35AC" w:rsidRPr="00922D6E">
        <w:rPr>
          <w:rFonts w:ascii="Arial" w:hAnsi="Arial" w:cs="Arial"/>
          <w:lang w:val="en-US"/>
        </w:rPr>
        <w:t xml:space="preserve">) </w:t>
      </w:r>
      <w:r w:rsidR="008B0C4E" w:rsidRPr="00922D6E">
        <w:rPr>
          <w:rFonts w:ascii="Arial" w:hAnsi="Arial" w:cs="Arial"/>
          <w:lang w:val="en-US"/>
        </w:rPr>
        <w:t>was 2</w:t>
      </w:r>
      <w:r w:rsidR="00922D6E" w:rsidRPr="00922D6E">
        <w:rPr>
          <w:rFonts w:ascii="Arial" w:hAnsi="Arial" w:cs="Arial"/>
          <w:lang w:val="en-US"/>
        </w:rPr>
        <w:t>2</w:t>
      </w:r>
      <w:r w:rsidR="008B0C4E" w:rsidRPr="00922D6E">
        <w:rPr>
          <w:rFonts w:ascii="Arial" w:hAnsi="Arial" w:cs="Arial"/>
          <w:lang w:val="en-US"/>
        </w:rPr>
        <w:t>.</w:t>
      </w:r>
      <w:r w:rsidR="00922D6E" w:rsidRPr="00922D6E">
        <w:rPr>
          <w:rFonts w:ascii="Arial" w:hAnsi="Arial" w:cs="Arial"/>
          <w:lang w:val="en-US"/>
        </w:rPr>
        <w:t>4</w:t>
      </w:r>
      <w:r w:rsidR="008B0C4E" w:rsidRPr="00922D6E">
        <w:rPr>
          <w:rFonts w:ascii="Arial" w:hAnsi="Arial" w:cs="Arial"/>
          <w:lang w:val="en-US"/>
        </w:rPr>
        <w:t xml:space="preserve"> per cent </w:t>
      </w:r>
      <w:r w:rsidR="007A35AC" w:rsidRPr="00922D6E">
        <w:rPr>
          <w:rFonts w:ascii="Arial" w:hAnsi="Arial" w:cs="Arial"/>
          <w:lang w:val="en-US"/>
        </w:rPr>
        <w:t xml:space="preserve">in Western Australia and </w:t>
      </w:r>
      <w:r w:rsidR="008B0C4E" w:rsidRPr="00922D6E">
        <w:rPr>
          <w:rFonts w:ascii="Arial" w:hAnsi="Arial" w:cs="Arial"/>
          <w:lang w:val="en-US"/>
        </w:rPr>
        <w:t>1</w:t>
      </w:r>
      <w:r w:rsidR="00922D6E" w:rsidRPr="00922D6E">
        <w:rPr>
          <w:rFonts w:ascii="Arial" w:hAnsi="Arial" w:cs="Arial"/>
          <w:lang w:val="en-US"/>
        </w:rPr>
        <w:t>3</w:t>
      </w:r>
      <w:r w:rsidR="008B0C4E" w:rsidRPr="00922D6E">
        <w:rPr>
          <w:rFonts w:ascii="Arial" w:hAnsi="Arial" w:cs="Arial"/>
          <w:lang w:val="en-US"/>
        </w:rPr>
        <w:t>.</w:t>
      </w:r>
      <w:r w:rsidR="00922D6E" w:rsidRPr="00922D6E">
        <w:rPr>
          <w:rFonts w:ascii="Arial" w:hAnsi="Arial" w:cs="Arial"/>
          <w:lang w:val="en-US"/>
        </w:rPr>
        <w:t>9</w:t>
      </w:r>
      <w:r w:rsidR="007A35AC" w:rsidRPr="00922D6E">
        <w:rPr>
          <w:rFonts w:ascii="Arial" w:hAnsi="Arial" w:cs="Arial"/>
          <w:lang w:val="en-US"/>
        </w:rPr>
        <w:t> </w:t>
      </w:r>
      <w:r w:rsidR="008B0C4E" w:rsidRPr="00922D6E">
        <w:rPr>
          <w:rFonts w:ascii="Arial" w:hAnsi="Arial" w:cs="Arial"/>
          <w:lang w:val="en-US"/>
        </w:rPr>
        <w:t>per cent nationally.</w:t>
      </w:r>
      <w:r w:rsidR="008B0C4E" w:rsidRPr="00922D6E">
        <w:rPr>
          <w:rFonts w:ascii="Arial" w:eastAsiaTheme="minorHAnsi" w:hAnsi="Arial" w:cs="Arial"/>
          <w:vertAlign w:val="superscript"/>
          <w:lang w:val="en-US"/>
        </w:rPr>
        <w:footnoteReference w:id="32"/>
      </w:r>
    </w:p>
    <w:p w:rsidR="008B0C4E" w:rsidRPr="00F63CAB" w:rsidRDefault="008B0C4E" w:rsidP="008B0C4E">
      <w:pPr>
        <w:spacing w:line="240" w:lineRule="auto"/>
        <w:ind w:left="357"/>
        <w:jc w:val="center"/>
        <w:rPr>
          <w:rFonts w:ascii="Arial" w:hAnsi="Arial" w:cs="Arial"/>
          <w:b/>
          <w:sz w:val="20"/>
          <w:szCs w:val="20"/>
          <w:lang w:val="en-US"/>
        </w:rPr>
      </w:pPr>
      <w:r w:rsidRPr="00F63CAB">
        <w:rPr>
          <w:rFonts w:ascii="Arial" w:hAnsi="Arial" w:cs="Arial"/>
          <w:b/>
          <w:sz w:val="20"/>
          <w:szCs w:val="20"/>
          <w:lang w:val="en-US"/>
        </w:rPr>
        <w:t>Table 2: Gender Pay Gap – by State / Territory – November Quarter 201</w:t>
      </w:r>
      <w:r w:rsidR="00F63CAB" w:rsidRPr="00F63CAB">
        <w:rPr>
          <w:rFonts w:ascii="Arial" w:hAnsi="Arial" w:cs="Arial"/>
          <w:b/>
          <w:sz w:val="20"/>
          <w:szCs w:val="20"/>
          <w:lang w:val="en-US"/>
        </w:rPr>
        <w:t>9</w:t>
      </w:r>
      <w:r w:rsidRPr="00F63CAB">
        <w:rPr>
          <w:rFonts w:ascii="Arial" w:hAnsi="Arial" w:cs="Arial"/>
          <w:b/>
          <w:sz w:val="20"/>
          <w:szCs w:val="20"/>
          <w:vertAlign w:val="superscript"/>
          <w:lang w:val="en-US"/>
        </w:rPr>
        <w:footnoteReference w:id="33"/>
      </w:r>
    </w:p>
    <w:tbl>
      <w:tblPr>
        <w:tblStyle w:val="MediumGrid1-Accent4"/>
        <w:tblW w:w="8460" w:type="dxa"/>
        <w:tblInd w:w="675" w:type="dxa"/>
        <w:tblBorders>
          <w:top w:val="single" w:sz="12" w:space="0" w:color="FFFFFF" w:themeColor="background1"/>
          <w:left w:val="single" w:sz="12" w:space="0" w:color="FFFFFF" w:themeColor="background1"/>
          <w:bottom w:val="none" w:sz="0" w:space="0" w:color="auto"/>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15"/>
        <w:gridCol w:w="2115"/>
        <w:gridCol w:w="2115"/>
        <w:gridCol w:w="2115"/>
      </w:tblGrid>
      <w:tr w:rsidR="008B0C4E" w:rsidRPr="00F63CAB" w:rsidTr="00490B4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15" w:type="dxa"/>
            <w:vAlign w:val="center"/>
          </w:tcPr>
          <w:p w:rsidR="008B0C4E" w:rsidRPr="00F63CAB" w:rsidRDefault="008B0C4E" w:rsidP="008B0C4E">
            <w:pPr>
              <w:ind w:left="360" w:hanging="305"/>
              <w:jc w:val="center"/>
              <w:rPr>
                <w:rFonts w:ascii="Arial" w:hAnsi="Arial" w:cs="Arial"/>
                <w:color w:val="000000" w:themeColor="text1"/>
                <w:sz w:val="20"/>
                <w:szCs w:val="20"/>
                <w:lang w:val="en-US"/>
              </w:rPr>
            </w:pPr>
            <w:r w:rsidRPr="00F63CAB">
              <w:rPr>
                <w:rFonts w:ascii="Arial" w:hAnsi="Arial" w:cs="Arial"/>
                <w:color w:val="000000" w:themeColor="text1"/>
                <w:sz w:val="20"/>
                <w:szCs w:val="20"/>
                <w:lang w:val="en-US"/>
              </w:rPr>
              <w:t>State / Territory</w:t>
            </w:r>
          </w:p>
        </w:tc>
        <w:tc>
          <w:tcPr>
            <w:tcW w:w="2115" w:type="dxa"/>
            <w:vAlign w:val="center"/>
          </w:tcPr>
          <w:p w:rsidR="008B0C4E" w:rsidRPr="00F63CAB" w:rsidRDefault="008B0C4E" w:rsidP="008B0C4E">
            <w:pPr>
              <w:ind w:left="360" w:hanging="294"/>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F63CAB">
              <w:rPr>
                <w:rFonts w:ascii="Arial" w:hAnsi="Arial" w:cs="Arial"/>
                <w:sz w:val="20"/>
                <w:szCs w:val="20"/>
                <w:lang w:val="en-US"/>
              </w:rPr>
              <w:t>Male AWOTE</w:t>
            </w:r>
          </w:p>
        </w:tc>
        <w:tc>
          <w:tcPr>
            <w:tcW w:w="2115" w:type="dxa"/>
            <w:vAlign w:val="center"/>
          </w:tcPr>
          <w:p w:rsidR="008B0C4E" w:rsidRPr="00F63CAB" w:rsidRDefault="008B0C4E" w:rsidP="008B0C4E">
            <w:pPr>
              <w:ind w:left="360" w:hanging="282"/>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F63CAB">
              <w:rPr>
                <w:rFonts w:ascii="Arial" w:hAnsi="Arial" w:cs="Arial"/>
                <w:sz w:val="20"/>
                <w:szCs w:val="20"/>
                <w:lang w:val="en-US"/>
              </w:rPr>
              <w:t>Female AWOTE</w:t>
            </w:r>
          </w:p>
        </w:tc>
        <w:tc>
          <w:tcPr>
            <w:tcW w:w="2115" w:type="dxa"/>
            <w:vAlign w:val="center"/>
          </w:tcPr>
          <w:p w:rsidR="008B0C4E" w:rsidRPr="00F63CAB" w:rsidRDefault="008B0C4E" w:rsidP="008B0C4E">
            <w:pPr>
              <w:ind w:left="360" w:hanging="271"/>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F63CAB">
              <w:rPr>
                <w:rFonts w:ascii="Arial" w:hAnsi="Arial" w:cs="Arial"/>
                <w:sz w:val="20"/>
                <w:szCs w:val="20"/>
                <w:lang w:val="en-US"/>
              </w:rPr>
              <w:t>Gender Pay Gap</w:t>
            </w:r>
          </w:p>
        </w:tc>
      </w:tr>
      <w:tr w:rsidR="008B0C4E" w:rsidRPr="00F63CAB" w:rsidTr="00490B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15" w:type="dxa"/>
            <w:shd w:val="clear" w:color="auto" w:fill="CCC0D9" w:themeFill="accent4" w:themeFillTint="66"/>
            <w:vAlign w:val="center"/>
          </w:tcPr>
          <w:p w:rsidR="008B0C4E" w:rsidRPr="00F63CAB" w:rsidRDefault="008B0C4E" w:rsidP="008B0C4E">
            <w:pPr>
              <w:ind w:left="360" w:hanging="305"/>
              <w:jc w:val="center"/>
              <w:rPr>
                <w:rFonts w:ascii="Arial" w:hAnsi="Arial" w:cs="Arial"/>
                <w:color w:val="000000" w:themeColor="text1"/>
                <w:sz w:val="20"/>
                <w:szCs w:val="20"/>
                <w:lang w:val="en-US"/>
              </w:rPr>
            </w:pPr>
            <w:r w:rsidRPr="00F63CAB">
              <w:rPr>
                <w:rFonts w:ascii="Arial" w:hAnsi="Arial" w:cs="Arial"/>
                <w:color w:val="000000" w:themeColor="text1"/>
                <w:sz w:val="20"/>
                <w:szCs w:val="20"/>
                <w:lang w:val="en-US"/>
              </w:rPr>
              <w:t>NSW</w:t>
            </w:r>
          </w:p>
        </w:tc>
        <w:tc>
          <w:tcPr>
            <w:tcW w:w="2115" w:type="dxa"/>
            <w:shd w:val="clear" w:color="auto" w:fill="CCC0D9" w:themeFill="accent4" w:themeFillTint="66"/>
            <w:vAlign w:val="center"/>
          </w:tcPr>
          <w:p w:rsidR="008B0C4E" w:rsidRPr="00F63CAB" w:rsidRDefault="00F63CAB" w:rsidP="008B0C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$1,778.80</w:t>
            </w:r>
          </w:p>
        </w:tc>
        <w:tc>
          <w:tcPr>
            <w:tcW w:w="2115" w:type="dxa"/>
            <w:shd w:val="clear" w:color="auto" w:fill="CCC0D9" w:themeFill="accent4" w:themeFillTint="66"/>
            <w:vAlign w:val="center"/>
          </w:tcPr>
          <w:p w:rsidR="008B0C4E" w:rsidRPr="00F63CAB" w:rsidRDefault="00F63CAB" w:rsidP="008B0C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$1,528.20</w:t>
            </w:r>
          </w:p>
        </w:tc>
        <w:tc>
          <w:tcPr>
            <w:tcW w:w="2115" w:type="dxa"/>
            <w:shd w:val="clear" w:color="auto" w:fill="CCC0D9" w:themeFill="accent4" w:themeFillTint="66"/>
            <w:vAlign w:val="center"/>
          </w:tcPr>
          <w:p w:rsidR="008B0C4E" w:rsidRPr="00F63CAB" w:rsidRDefault="00F63CAB" w:rsidP="008B0C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14.1%</w:t>
            </w:r>
          </w:p>
        </w:tc>
      </w:tr>
      <w:tr w:rsidR="008B0C4E" w:rsidRPr="00F63CAB" w:rsidTr="00490B43">
        <w:trPr>
          <w:trHeight w:val="255"/>
        </w:trPr>
        <w:tc>
          <w:tcPr>
            <w:cnfStyle w:val="001000000000" w:firstRow="0" w:lastRow="0" w:firstColumn="1" w:lastColumn="0" w:oddVBand="0" w:evenVBand="0" w:oddHBand="0" w:evenHBand="0" w:firstRowFirstColumn="0" w:firstRowLastColumn="0" w:lastRowFirstColumn="0" w:lastRowLastColumn="0"/>
            <w:tcW w:w="2115" w:type="dxa"/>
            <w:shd w:val="clear" w:color="auto" w:fill="E5DFEC" w:themeFill="accent4" w:themeFillTint="33"/>
            <w:vAlign w:val="center"/>
          </w:tcPr>
          <w:p w:rsidR="008B0C4E" w:rsidRPr="00F63CAB" w:rsidRDefault="008B0C4E" w:rsidP="008B0C4E">
            <w:pPr>
              <w:ind w:left="360" w:hanging="305"/>
              <w:jc w:val="center"/>
              <w:rPr>
                <w:rFonts w:ascii="Arial" w:hAnsi="Arial" w:cs="Arial"/>
                <w:color w:val="000000" w:themeColor="text1"/>
                <w:sz w:val="20"/>
                <w:szCs w:val="20"/>
                <w:lang w:val="en-US"/>
              </w:rPr>
            </w:pPr>
            <w:r w:rsidRPr="00F63CAB">
              <w:rPr>
                <w:rFonts w:ascii="Arial" w:hAnsi="Arial" w:cs="Arial"/>
                <w:color w:val="000000" w:themeColor="text1"/>
                <w:sz w:val="20"/>
                <w:szCs w:val="20"/>
                <w:lang w:val="en-US"/>
              </w:rPr>
              <w:t>VIC</w:t>
            </w:r>
          </w:p>
        </w:tc>
        <w:tc>
          <w:tcPr>
            <w:tcW w:w="2115" w:type="dxa"/>
            <w:shd w:val="clear" w:color="auto" w:fill="E5DFEC" w:themeFill="accent4" w:themeFillTint="33"/>
            <w:vAlign w:val="center"/>
          </w:tcPr>
          <w:p w:rsidR="008B0C4E" w:rsidRPr="00F63CAB" w:rsidRDefault="00F63CAB" w:rsidP="008B0C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$1,699.20</w:t>
            </w:r>
          </w:p>
        </w:tc>
        <w:tc>
          <w:tcPr>
            <w:tcW w:w="2115" w:type="dxa"/>
            <w:shd w:val="clear" w:color="auto" w:fill="E5DFEC" w:themeFill="accent4" w:themeFillTint="33"/>
            <w:vAlign w:val="center"/>
          </w:tcPr>
          <w:p w:rsidR="008B0C4E" w:rsidRPr="00F63CAB" w:rsidRDefault="00F63CAB" w:rsidP="008B0C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$1,539.30</w:t>
            </w:r>
          </w:p>
        </w:tc>
        <w:tc>
          <w:tcPr>
            <w:tcW w:w="2115" w:type="dxa"/>
            <w:shd w:val="clear" w:color="auto" w:fill="E5DFEC" w:themeFill="accent4" w:themeFillTint="33"/>
            <w:vAlign w:val="center"/>
          </w:tcPr>
          <w:p w:rsidR="008B0C4E" w:rsidRPr="00F63CAB" w:rsidRDefault="00F63CAB" w:rsidP="008B0C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9.4%</w:t>
            </w:r>
          </w:p>
        </w:tc>
      </w:tr>
      <w:tr w:rsidR="008B0C4E" w:rsidRPr="00F63CAB" w:rsidTr="00490B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15" w:type="dxa"/>
            <w:shd w:val="clear" w:color="auto" w:fill="CCC0D9" w:themeFill="accent4" w:themeFillTint="66"/>
            <w:vAlign w:val="center"/>
          </w:tcPr>
          <w:p w:rsidR="008B0C4E" w:rsidRPr="00F63CAB" w:rsidRDefault="008B0C4E" w:rsidP="008B0C4E">
            <w:pPr>
              <w:ind w:left="360" w:hanging="305"/>
              <w:jc w:val="center"/>
              <w:rPr>
                <w:rFonts w:ascii="Arial" w:hAnsi="Arial" w:cs="Arial"/>
                <w:color w:val="000000" w:themeColor="text1"/>
                <w:sz w:val="20"/>
                <w:szCs w:val="20"/>
                <w:lang w:val="en-US"/>
              </w:rPr>
            </w:pPr>
            <w:r w:rsidRPr="00F63CAB">
              <w:rPr>
                <w:rFonts w:ascii="Arial" w:hAnsi="Arial" w:cs="Arial"/>
                <w:color w:val="000000" w:themeColor="text1"/>
                <w:sz w:val="20"/>
                <w:szCs w:val="20"/>
                <w:lang w:val="en-US"/>
              </w:rPr>
              <w:t>QLD</w:t>
            </w:r>
          </w:p>
        </w:tc>
        <w:tc>
          <w:tcPr>
            <w:tcW w:w="2115" w:type="dxa"/>
            <w:shd w:val="clear" w:color="auto" w:fill="CCC0D9" w:themeFill="accent4" w:themeFillTint="66"/>
            <w:vAlign w:val="center"/>
          </w:tcPr>
          <w:p w:rsidR="008B0C4E" w:rsidRPr="00F63CAB" w:rsidRDefault="00F63CAB" w:rsidP="008B0C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$1,714.50</w:t>
            </w:r>
          </w:p>
        </w:tc>
        <w:tc>
          <w:tcPr>
            <w:tcW w:w="2115" w:type="dxa"/>
            <w:shd w:val="clear" w:color="auto" w:fill="CCC0D9" w:themeFill="accent4" w:themeFillTint="66"/>
            <w:vAlign w:val="center"/>
          </w:tcPr>
          <w:p w:rsidR="008B0C4E" w:rsidRPr="00F63CAB" w:rsidRDefault="00F63CAB" w:rsidP="008B0C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$1,442.60</w:t>
            </w:r>
          </w:p>
        </w:tc>
        <w:tc>
          <w:tcPr>
            <w:tcW w:w="2115" w:type="dxa"/>
            <w:shd w:val="clear" w:color="auto" w:fill="CCC0D9" w:themeFill="accent4" w:themeFillTint="66"/>
            <w:vAlign w:val="center"/>
          </w:tcPr>
          <w:p w:rsidR="008B0C4E" w:rsidRPr="00F63CAB" w:rsidRDefault="00F63CAB" w:rsidP="008B0C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15.9%</w:t>
            </w:r>
          </w:p>
        </w:tc>
      </w:tr>
      <w:tr w:rsidR="008B0C4E" w:rsidRPr="00F63CAB" w:rsidTr="00490B43">
        <w:trPr>
          <w:trHeight w:val="255"/>
        </w:trPr>
        <w:tc>
          <w:tcPr>
            <w:cnfStyle w:val="001000000000" w:firstRow="0" w:lastRow="0" w:firstColumn="1" w:lastColumn="0" w:oddVBand="0" w:evenVBand="0" w:oddHBand="0" w:evenHBand="0" w:firstRowFirstColumn="0" w:firstRowLastColumn="0" w:lastRowFirstColumn="0" w:lastRowLastColumn="0"/>
            <w:tcW w:w="2115" w:type="dxa"/>
            <w:shd w:val="clear" w:color="auto" w:fill="E5DFEC" w:themeFill="accent4" w:themeFillTint="33"/>
            <w:vAlign w:val="center"/>
          </w:tcPr>
          <w:p w:rsidR="008B0C4E" w:rsidRPr="00F63CAB" w:rsidRDefault="008B0C4E" w:rsidP="008B0C4E">
            <w:pPr>
              <w:ind w:left="360" w:hanging="305"/>
              <w:jc w:val="center"/>
              <w:rPr>
                <w:rFonts w:ascii="Arial" w:hAnsi="Arial" w:cs="Arial"/>
                <w:color w:val="000000" w:themeColor="text1"/>
                <w:sz w:val="20"/>
                <w:szCs w:val="20"/>
                <w:lang w:val="en-US"/>
              </w:rPr>
            </w:pPr>
            <w:r w:rsidRPr="00F63CAB">
              <w:rPr>
                <w:rFonts w:ascii="Arial" w:hAnsi="Arial" w:cs="Arial"/>
                <w:color w:val="000000" w:themeColor="text1"/>
                <w:sz w:val="20"/>
                <w:szCs w:val="20"/>
                <w:lang w:val="en-US"/>
              </w:rPr>
              <w:t>SA</w:t>
            </w:r>
          </w:p>
        </w:tc>
        <w:tc>
          <w:tcPr>
            <w:tcW w:w="2115" w:type="dxa"/>
            <w:shd w:val="clear" w:color="auto" w:fill="E5DFEC" w:themeFill="accent4" w:themeFillTint="33"/>
            <w:vAlign w:val="center"/>
          </w:tcPr>
          <w:p w:rsidR="008B0C4E" w:rsidRPr="00F63CAB" w:rsidRDefault="00F63CAB" w:rsidP="008B0C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$1,563.20</w:t>
            </w:r>
          </w:p>
        </w:tc>
        <w:tc>
          <w:tcPr>
            <w:tcW w:w="2115" w:type="dxa"/>
            <w:shd w:val="clear" w:color="auto" w:fill="E5DFEC" w:themeFill="accent4" w:themeFillTint="33"/>
            <w:vAlign w:val="center"/>
          </w:tcPr>
          <w:p w:rsidR="008B0C4E" w:rsidRPr="00F63CAB" w:rsidRDefault="00F63CAB" w:rsidP="008B0C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$1,400.20</w:t>
            </w:r>
          </w:p>
        </w:tc>
        <w:tc>
          <w:tcPr>
            <w:tcW w:w="2115" w:type="dxa"/>
            <w:shd w:val="clear" w:color="auto" w:fill="E5DFEC" w:themeFill="accent4" w:themeFillTint="33"/>
            <w:vAlign w:val="center"/>
          </w:tcPr>
          <w:p w:rsidR="008B0C4E" w:rsidRPr="00F63CAB" w:rsidRDefault="00F63CAB" w:rsidP="008B0C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10.4%</w:t>
            </w:r>
          </w:p>
        </w:tc>
      </w:tr>
      <w:tr w:rsidR="008B0C4E" w:rsidRPr="00F63CAB" w:rsidTr="00490B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15" w:type="dxa"/>
            <w:shd w:val="clear" w:color="auto" w:fill="CCC0D9" w:themeFill="accent4" w:themeFillTint="66"/>
            <w:vAlign w:val="center"/>
          </w:tcPr>
          <w:p w:rsidR="008B0C4E" w:rsidRPr="00F63CAB" w:rsidRDefault="008B0C4E" w:rsidP="008B0C4E">
            <w:pPr>
              <w:ind w:left="360" w:hanging="305"/>
              <w:jc w:val="center"/>
              <w:rPr>
                <w:rFonts w:ascii="Arial" w:hAnsi="Arial" w:cs="Arial"/>
                <w:color w:val="000000" w:themeColor="text1"/>
                <w:sz w:val="20"/>
                <w:szCs w:val="20"/>
                <w:lang w:val="en-US"/>
              </w:rPr>
            </w:pPr>
            <w:r w:rsidRPr="00F63CAB">
              <w:rPr>
                <w:rFonts w:ascii="Arial" w:hAnsi="Arial" w:cs="Arial"/>
                <w:color w:val="000000" w:themeColor="text1"/>
                <w:sz w:val="20"/>
                <w:szCs w:val="20"/>
                <w:lang w:val="en-US"/>
              </w:rPr>
              <w:t>WA</w:t>
            </w:r>
          </w:p>
        </w:tc>
        <w:tc>
          <w:tcPr>
            <w:tcW w:w="2115" w:type="dxa"/>
            <w:shd w:val="clear" w:color="auto" w:fill="CCC0D9" w:themeFill="accent4" w:themeFillTint="66"/>
            <w:vAlign w:val="center"/>
          </w:tcPr>
          <w:p w:rsidR="008B0C4E" w:rsidRPr="00F63CAB" w:rsidRDefault="00F63CAB" w:rsidP="008B0C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$1,928.10</w:t>
            </w:r>
          </w:p>
        </w:tc>
        <w:tc>
          <w:tcPr>
            <w:tcW w:w="2115" w:type="dxa"/>
            <w:shd w:val="clear" w:color="auto" w:fill="CCC0D9" w:themeFill="accent4" w:themeFillTint="66"/>
            <w:vAlign w:val="center"/>
          </w:tcPr>
          <w:p w:rsidR="008B0C4E" w:rsidRPr="00F63CAB" w:rsidRDefault="00F63CAB" w:rsidP="008B0C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$1,497.10</w:t>
            </w:r>
          </w:p>
        </w:tc>
        <w:tc>
          <w:tcPr>
            <w:tcW w:w="2115" w:type="dxa"/>
            <w:shd w:val="clear" w:color="auto" w:fill="CCC0D9" w:themeFill="accent4" w:themeFillTint="66"/>
            <w:vAlign w:val="center"/>
          </w:tcPr>
          <w:p w:rsidR="008B0C4E" w:rsidRPr="00F63CAB" w:rsidRDefault="00F63CAB" w:rsidP="008B0C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22.4%</w:t>
            </w:r>
          </w:p>
        </w:tc>
      </w:tr>
      <w:tr w:rsidR="008B0C4E" w:rsidRPr="00F63CAB" w:rsidTr="00490B43">
        <w:trPr>
          <w:trHeight w:val="255"/>
        </w:trPr>
        <w:tc>
          <w:tcPr>
            <w:cnfStyle w:val="001000000000" w:firstRow="0" w:lastRow="0" w:firstColumn="1" w:lastColumn="0" w:oddVBand="0" w:evenVBand="0" w:oddHBand="0" w:evenHBand="0" w:firstRowFirstColumn="0" w:firstRowLastColumn="0" w:lastRowFirstColumn="0" w:lastRowLastColumn="0"/>
            <w:tcW w:w="2115" w:type="dxa"/>
            <w:shd w:val="clear" w:color="auto" w:fill="E5DFEC" w:themeFill="accent4" w:themeFillTint="33"/>
            <w:vAlign w:val="center"/>
          </w:tcPr>
          <w:p w:rsidR="008B0C4E" w:rsidRPr="00F63CAB" w:rsidRDefault="008B0C4E" w:rsidP="008B0C4E">
            <w:pPr>
              <w:ind w:left="360" w:hanging="305"/>
              <w:jc w:val="center"/>
              <w:rPr>
                <w:rFonts w:ascii="Arial" w:hAnsi="Arial" w:cs="Arial"/>
                <w:color w:val="000000" w:themeColor="text1"/>
                <w:sz w:val="20"/>
                <w:szCs w:val="20"/>
                <w:lang w:val="en-US"/>
              </w:rPr>
            </w:pPr>
            <w:r w:rsidRPr="00F63CAB">
              <w:rPr>
                <w:rFonts w:ascii="Arial" w:hAnsi="Arial" w:cs="Arial"/>
                <w:color w:val="000000" w:themeColor="text1"/>
                <w:sz w:val="20"/>
                <w:szCs w:val="20"/>
                <w:lang w:val="en-US"/>
              </w:rPr>
              <w:t>TAS</w:t>
            </w:r>
          </w:p>
        </w:tc>
        <w:tc>
          <w:tcPr>
            <w:tcW w:w="2115" w:type="dxa"/>
            <w:shd w:val="clear" w:color="auto" w:fill="E5DFEC" w:themeFill="accent4" w:themeFillTint="33"/>
            <w:vAlign w:val="center"/>
          </w:tcPr>
          <w:p w:rsidR="008B0C4E" w:rsidRPr="00F63CAB" w:rsidRDefault="00F63CAB" w:rsidP="008B0C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$1,497.60</w:t>
            </w:r>
          </w:p>
        </w:tc>
        <w:tc>
          <w:tcPr>
            <w:tcW w:w="2115" w:type="dxa"/>
            <w:shd w:val="clear" w:color="auto" w:fill="E5DFEC" w:themeFill="accent4" w:themeFillTint="33"/>
            <w:vAlign w:val="center"/>
          </w:tcPr>
          <w:p w:rsidR="008B0C4E" w:rsidRPr="00F63CAB" w:rsidRDefault="00F63CAB" w:rsidP="008B0C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$1,363.80</w:t>
            </w:r>
          </w:p>
        </w:tc>
        <w:tc>
          <w:tcPr>
            <w:tcW w:w="2115" w:type="dxa"/>
            <w:shd w:val="clear" w:color="auto" w:fill="E5DFEC" w:themeFill="accent4" w:themeFillTint="33"/>
            <w:vAlign w:val="center"/>
          </w:tcPr>
          <w:p w:rsidR="008B0C4E" w:rsidRPr="00F63CAB" w:rsidRDefault="00F63CAB" w:rsidP="008B0C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8.9%</w:t>
            </w:r>
          </w:p>
        </w:tc>
      </w:tr>
      <w:tr w:rsidR="008B0C4E" w:rsidRPr="00F63CAB" w:rsidTr="00490B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15" w:type="dxa"/>
            <w:shd w:val="clear" w:color="auto" w:fill="CCC0D9" w:themeFill="accent4" w:themeFillTint="66"/>
            <w:vAlign w:val="center"/>
          </w:tcPr>
          <w:p w:rsidR="008B0C4E" w:rsidRPr="00F63CAB" w:rsidRDefault="008B0C4E" w:rsidP="008B0C4E">
            <w:pPr>
              <w:ind w:left="360" w:hanging="305"/>
              <w:jc w:val="center"/>
              <w:rPr>
                <w:rFonts w:ascii="Arial" w:hAnsi="Arial" w:cs="Arial"/>
                <w:color w:val="000000" w:themeColor="text1"/>
                <w:sz w:val="20"/>
                <w:szCs w:val="20"/>
                <w:lang w:val="en-US"/>
              </w:rPr>
            </w:pPr>
            <w:r w:rsidRPr="00F63CAB">
              <w:rPr>
                <w:rFonts w:ascii="Arial" w:hAnsi="Arial" w:cs="Arial"/>
                <w:color w:val="000000" w:themeColor="text1"/>
                <w:sz w:val="20"/>
                <w:szCs w:val="20"/>
                <w:lang w:val="en-US"/>
              </w:rPr>
              <w:t>NT</w:t>
            </w:r>
          </w:p>
        </w:tc>
        <w:tc>
          <w:tcPr>
            <w:tcW w:w="2115" w:type="dxa"/>
            <w:shd w:val="clear" w:color="auto" w:fill="CCC0D9" w:themeFill="accent4" w:themeFillTint="66"/>
            <w:vAlign w:val="center"/>
          </w:tcPr>
          <w:p w:rsidR="008B0C4E" w:rsidRPr="00F63CAB" w:rsidRDefault="00F63CAB" w:rsidP="008B0C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$1,787.80</w:t>
            </w:r>
          </w:p>
        </w:tc>
        <w:tc>
          <w:tcPr>
            <w:tcW w:w="2115" w:type="dxa"/>
            <w:shd w:val="clear" w:color="auto" w:fill="CCC0D9" w:themeFill="accent4" w:themeFillTint="66"/>
            <w:vAlign w:val="center"/>
          </w:tcPr>
          <w:p w:rsidR="008B0C4E" w:rsidRPr="00F63CAB" w:rsidRDefault="00F63CAB" w:rsidP="008B0C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$1,555.00</w:t>
            </w:r>
          </w:p>
        </w:tc>
        <w:tc>
          <w:tcPr>
            <w:tcW w:w="2115" w:type="dxa"/>
            <w:shd w:val="clear" w:color="auto" w:fill="CCC0D9" w:themeFill="accent4" w:themeFillTint="66"/>
            <w:vAlign w:val="center"/>
          </w:tcPr>
          <w:p w:rsidR="008B0C4E" w:rsidRPr="00F63CAB" w:rsidRDefault="00F63CAB" w:rsidP="008B0C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13.0%</w:t>
            </w:r>
          </w:p>
        </w:tc>
      </w:tr>
      <w:tr w:rsidR="008B0C4E" w:rsidRPr="00F63CAB" w:rsidTr="00490B43">
        <w:trPr>
          <w:trHeight w:val="255"/>
        </w:trPr>
        <w:tc>
          <w:tcPr>
            <w:cnfStyle w:val="001000000000" w:firstRow="0" w:lastRow="0" w:firstColumn="1" w:lastColumn="0" w:oddVBand="0" w:evenVBand="0" w:oddHBand="0" w:evenHBand="0" w:firstRowFirstColumn="0" w:firstRowLastColumn="0" w:lastRowFirstColumn="0" w:lastRowLastColumn="0"/>
            <w:tcW w:w="2115" w:type="dxa"/>
            <w:shd w:val="clear" w:color="auto" w:fill="E5DFEC" w:themeFill="accent4" w:themeFillTint="33"/>
            <w:vAlign w:val="center"/>
          </w:tcPr>
          <w:p w:rsidR="008B0C4E" w:rsidRPr="00F63CAB" w:rsidRDefault="008B0C4E" w:rsidP="008B0C4E">
            <w:pPr>
              <w:ind w:left="360" w:hanging="305"/>
              <w:jc w:val="center"/>
              <w:rPr>
                <w:rFonts w:ascii="Arial" w:hAnsi="Arial" w:cs="Arial"/>
                <w:color w:val="000000" w:themeColor="text1"/>
                <w:sz w:val="20"/>
                <w:szCs w:val="20"/>
                <w:lang w:val="en-US"/>
              </w:rPr>
            </w:pPr>
            <w:r w:rsidRPr="00F63CAB">
              <w:rPr>
                <w:rFonts w:ascii="Arial" w:hAnsi="Arial" w:cs="Arial"/>
                <w:color w:val="000000" w:themeColor="text1"/>
                <w:sz w:val="20"/>
                <w:szCs w:val="20"/>
                <w:lang w:val="en-US"/>
              </w:rPr>
              <w:t>ACT</w:t>
            </w:r>
          </w:p>
        </w:tc>
        <w:tc>
          <w:tcPr>
            <w:tcW w:w="2115" w:type="dxa"/>
            <w:shd w:val="clear" w:color="auto" w:fill="E5DFEC" w:themeFill="accent4" w:themeFillTint="33"/>
            <w:vAlign w:val="center"/>
          </w:tcPr>
          <w:p w:rsidR="008B0C4E" w:rsidRPr="00F63CAB" w:rsidRDefault="00F63CAB" w:rsidP="008B0C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$1,904.90</w:t>
            </w:r>
          </w:p>
        </w:tc>
        <w:tc>
          <w:tcPr>
            <w:tcW w:w="2115" w:type="dxa"/>
            <w:shd w:val="clear" w:color="auto" w:fill="E5DFEC" w:themeFill="accent4" w:themeFillTint="33"/>
            <w:vAlign w:val="center"/>
          </w:tcPr>
          <w:p w:rsidR="008B0C4E" w:rsidRPr="00F63CAB" w:rsidRDefault="00F63CAB" w:rsidP="008B0C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$1,737.10</w:t>
            </w:r>
          </w:p>
        </w:tc>
        <w:tc>
          <w:tcPr>
            <w:tcW w:w="2115" w:type="dxa"/>
            <w:shd w:val="clear" w:color="auto" w:fill="E5DFEC" w:themeFill="accent4" w:themeFillTint="33"/>
            <w:vAlign w:val="center"/>
          </w:tcPr>
          <w:p w:rsidR="008B0C4E" w:rsidRPr="00F63CAB" w:rsidRDefault="00F63CAB" w:rsidP="008B0C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8.8%</w:t>
            </w:r>
          </w:p>
        </w:tc>
      </w:tr>
      <w:tr w:rsidR="008B0C4E" w:rsidRPr="008B0C4E" w:rsidTr="00490B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15" w:type="dxa"/>
            <w:shd w:val="clear" w:color="auto" w:fill="CCC0D9" w:themeFill="accent4" w:themeFillTint="66"/>
            <w:vAlign w:val="center"/>
          </w:tcPr>
          <w:p w:rsidR="008B0C4E" w:rsidRPr="00F63CAB" w:rsidRDefault="008B0C4E" w:rsidP="008B0C4E">
            <w:pPr>
              <w:ind w:left="360" w:hanging="305"/>
              <w:jc w:val="center"/>
              <w:rPr>
                <w:rFonts w:ascii="Arial" w:hAnsi="Arial" w:cs="Arial"/>
                <w:color w:val="000000" w:themeColor="text1"/>
                <w:sz w:val="20"/>
                <w:szCs w:val="20"/>
                <w:lang w:val="en-US"/>
              </w:rPr>
            </w:pPr>
            <w:r w:rsidRPr="00F63CAB">
              <w:rPr>
                <w:rFonts w:ascii="Arial" w:hAnsi="Arial" w:cs="Arial"/>
                <w:color w:val="000000" w:themeColor="text1"/>
                <w:sz w:val="20"/>
                <w:szCs w:val="20"/>
                <w:lang w:val="en-US"/>
              </w:rPr>
              <w:t>AUS</w:t>
            </w:r>
          </w:p>
        </w:tc>
        <w:tc>
          <w:tcPr>
            <w:tcW w:w="2115" w:type="dxa"/>
            <w:shd w:val="clear" w:color="auto" w:fill="CCC0D9" w:themeFill="accent4" w:themeFillTint="66"/>
            <w:vAlign w:val="center"/>
          </w:tcPr>
          <w:p w:rsidR="008B0C4E" w:rsidRPr="00F63CAB" w:rsidRDefault="00F63CAB" w:rsidP="008B0C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$1,750.80</w:t>
            </w:r>
          </w:p>
        </w:tc>
        <w:tc>
          <w:tcPr>
            <w:tcW w:w="2115" w:type="dxa"/>
            <w:shd w:val="clear" w:color="auto" w:fill="CCC0D9" w:themeFill="accent4" w:themeFillTint="66"/>
            <w:vAlign w:val="center"/>
          </w:tcPr>
          <w:p w:rsidR="008B0C4E" w:rsidRPr="00F63CAB" w:rsidRDefault="00F63CAB" w:rsidP="008B0C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$1,508.00</w:t>
            </w:r>
          </w:p>
        </w:tc>
        <w:tc>
          <w:tcPr>
            <w:tcW w:w="2115" w:type="dxa"/>
            <w:shd w:val="clear" w:color="auto" w:fill="CCC0D9" w:themeFill="accent4" w:themeFillTint="66"/>
            <w:vAlign w:val="center"/>
          </w:tcPr>
          <w:p w:rsidR="008B0C4E" w:rsidRPr="008B0C4E" w:rsidRDefault="00F63CAB" w:rsidP="008B0C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3CAB">
              <w:rPr>
                <w:rFonts w:ascii="Arial" w:hAnsi="Arial" w:cs="Arial"/>
                <w:color w:val="000000"/>
                <w:sz w:val="20"/>
                <w:szCs w:val="20"/>
              </w:rPr>
              <w:t>13.9%</w:t>
            </w:r>
          </w:p>
        </w:tc>
      </w:tr>
    </w:tbl>
    <w:p w:rsidR="00AF194D" w:rsidRDefault="00AF194D" w:rsidP="00AF194D">
      <w:pPr>
        <w:numPr>
          <w:ilvl w:val="0"/>
          <w:numId w:val="25"/>
        </w:numPr>
        <w:spacing w:after="240" w:line="240" w:lineRule="auto"/>
        <w:ind w:left="567" w:hanging="567"/>
        <w:jc w:val="both"/>
        <w:rPr>
          <w:rFonts w:ascii="Arial" w:hAnsi="Arial" w:cs="Arial"/>
          <w:lang w:val="en-US"/>
        </w:rPr>
      </w:pPr>
      <w:r w:rsidRPr="008B0C4E">
        <w:rPr>
          <w:rFonts w:ascii="Arial" w:hAnsi="Arial" w:cs="Arial"/>
          <w:lang w:val="en-US"/>
        </w:rPr>
        <w:lastRenderedPageBreak/>
        <w:t xml:space="preserve">As can be seen from the </w:t>
      </w:r>
      <w:r w:rsidR="00773F85">
        <w:rPr>
          <w:rFonts w:ascii="Arial" w:hAnsi="Arial" w:cs="Arial"/>
          <w:lang w:val="en-US"/>
        </w:rPr>
        <w:t>above ta</w:t>
      </w:r>
      <w:r w:rsidRPr="008B0C4E">
        <w:rPr>
          <w:rFonts w:ascii="Arial" w:hAnsi="Arial" w:cs="Arial"/>
          <w:lang w:val="en-US"/>
        </w:rPr>
        <w:t>ble, Western Australia</w:t>
      </w:r>
      <w:r>
        <w:rPr>
          <w:rFonts w:ascii="Arial" w:hAnsi="Arial" w:cs="Arial"/>
          <w:lang w:val="en-US"/>
        </w:rPr>
        <w:t xml:space="preserve"> maintains a gender pay gap higher than that in other states and territories, in part due a concentration of men in certain highly paid industries. </w:t>
      </w:r>
    </w:p>
    <w:p w:rsidR="001C5482" w:rsidRPr="00695AA5" w:rsidRDefault="001C5482" w:rsidP="001C5482">
      <w:pPr>
        <w:numPr>
          <w:ilvl w:val="0"/>
          <w:numId w:val="25"/>
        </w:numPr>
        <w:spacing w:after="240" w:line="240" w:lineRule="auto"/>
        <w:ind w:left="567" w:hanging="567"/>
        <w:jc w:val="both"/>
        <w:rPr>
          <w:rFonts w:ascii="Arial" w:hAnsi="Arial" w:cs="Arial"/>
          <w:lang w:val="en-US"/>
        </w:rPr>
      </w:pPr>
      <w:r w:rsidRPr="00695AA5">
        <w:rPr>
          <w:rFonts w:ascii="Arial" w:hAnsi="Arial" w:cs="Arial"/>
          <w:lang w:val="en-US"/>
        </w:rPr>
        <w:t>The gender pay gap is a product of many structural</w:t>
      </w:r>
      <w:r w:rsidR="00B03B84">
        <w:rPr>
          <w:rFonts w:ascii="Arial" w:hAnsi="Arial" w:cs="Arial"/>
          <w:lang w:val="en-US"/>
        </w:rPr>
        <w:t xml:space="preserve"> and</w:t>
      </w:r>
      <w:r w:rsidRPr="00695AA5">
        <w:rPr>
          <w:rFonts w:ascii="Arial" w:hAnsi="Arial" w:cs="Arial"/>
          <w:lang w:val="en-US"/>
        </w:rPr>
        <w:t xml:space="preserve"> historic factors, many of which cannot be addressed through the AWR. Nonetheless, regular and </w:t>
      </w:r>
      <w:r w:rsidR="00383D74">
        <w:rPr>
          <w:rFonts w:ascii="Arial" w:hAnsi="Arial" w:cs="Arial"/>
          <w:lang w:val="en-US"/>
        </w:rPr>
        <w:t>just</w:t>
      </w:r>
      <w:r w:rsidRPr="00695AA5">
        <w:rPr>
          <w:rFonts w:ascii="Arial" w:hAnsi="Arial" w:cs="Arial"/>
          <w:lang w:val="en-US"/>
        </w:rPr>
        <w:t xml:space="preserve"> wage increases play an important role in helping to </w:t>
      </w:r>
      <w:r w:rsidR="00936A4A">
        <w:rPr>
          <w:rFonts w:ascii="Arial" w:hAnsi="Arial" w:cs="Arial"/>
          <w:lang w:val="en-US"/>
        </w:rPr>
        <w:t>ameliorate</w:t>
      </w:r>
      <w:r w:rsidRPr="00695AA5">
        <w:rPr>
          <w:rFonts w:ascii="Arial" w:hAnsi="Arial" w:cs="Arial"/>
          <w:lang w:val="en-US"/>
        </w:rPr>
        <w:t xml:space="preserve"> gender pay inequality. </w:t>
      </w:r>
    </w:p>
    <w:p w:rsidR="00482C8C" w:rsidRPr="00A43C4A" w:rsidRDefault="008B0C4E" w:rsidP="00490B43">
      <w:pPr>
        <w:numPr>
          <w:ilvl w:val="0"/>
          <w:numId w:val="25"/>
        </w:numPr>
        <w:spacing w:after="240" w:line="240" w:lineRule="auto"/>
        <w:ind w:left="567" w:hanging="567"/>
        <w:jc w:val="both"/>
        <w:rPr>
          <w:rFonts w:ascii="Arial" w:hAnsi="Arial" w:cs="Arial"/>
          <w:lang w:val="en-US"/>
        </w:rPr>
      </w:pPr>
      <w:r w:rsidRPr="00A43C4A">
        <w:rPr>
          <w:rFonts w:ascii="Arial" w:hAnsi="Arial" w:cs="Arial"/>
          <w:lang w:val="en-US"/>
        </w:rPr>
        <w:t xml:space="preserve">Women are more likely to be paid in accordance with awards than </w:t>
      </w:r>
      <w:r w:rsidR="007A35AC" w:rsidRPr="00A43C4A">
        <w:rPr>
          <w:rFonts w:ascii="Arial" w:hAnsi="Arial" w:cs="Arial"/>
          <w:lang w:val="en-US"/>
        </w:rPr>
        <w:t>men</w:t>
      </w:r>
      <w:r w:rsidRPr="00A43C4A">
        <w:rPr>
          <w:rFonts w:ascii="Arial" w:hAnsi="Arial" w:cs="Arial"/>
          <w:lang w:val="en-US"/>
        </w:rPr>
        <w:t xml:space="preserve">, </w:t>
      </w:r>
      <w:r w:rsidR="007A35AC" w:rsidRPr="00A43C4A">
        <w:rPr>
          <w:rFonts w:ascii="Arial" w:hAnsi="Arial" w:cs="Arial"/>
          <w:lang w:val="en-US"/>
        </w:rPr>
        <w:t>particularly those working at hig</w:t>
      </w:r>
      <w:r w:rsidRPr="00A43C4A">
        <w:rPr>
          <w:rFonts w:ascii="Arial" w:hAnsi="Arial" w:cs="Arial"/>
          <w:lang w:val="en-US"/>
        </w:rPr>
        <w:t xml:space="preserve">her classifications. </w:t>
      </w:r>
      <w:r w:rsidR="007A35AC" w:rsidRPr="00A43C4A">
        <w:rPr>
          <w:rFonts w:ascii="Arial" w:hAnsi="Arial" w:cs="Arial"/>
          <w:lang w:val="en-US"/>
        </w:rPr>
        <w:t xml:space="preserve">As at </w:t>
      </w:r>
      <w:r w:rsidRPr="00A43C4A">
        <w:rPr>
          <w:rFonts w:ascii="Arial" w:hAnsi="Arial" w:cs="Arial"/>
          <w:lang w:val="en-US"/>
        </w:rPr>
        <w:t xml:space="preserve">May 2018, </w:t>
      </w:r>
      <w:r w:rsidRPr="00A43C4A">
        <w:rPr>
          <w:rFonts w:ascii="Arial" w:eastAsiaTheme="minorHAnsi" w:hAnsi="Arial" w:cs="Arial"/>
        </w:rPr>
        <w:t>26.6 per cent of female non-managerial employees in Australia were paid in accordance with an award, compared to 18.2 per cent of male non-managerial employees.</w:t>
      </w:r>
      <w:r w:rsidRPr="00A43C4A">
        <w:rPr>
          <w:rFonts w:ascii="Arial" w:eastAsiaTheme="minorHAnsi" w:hAnsi="Arial" w:cs="Arial"/>
          <w:vertAlign w:val="superscript"/>
          <w:lang w:val="en-US"/>
        </w:rPr>
        <w:footnoteReference w:id="34"/>
      </w:r>
      <w:r w:rsidRPr="00A43C4A">
        <w:rPr>
          <w:rFonts w:ascii="Arial" w:hAnsi="Arial" w:cs="Arial"/>
          <w:lang w:val="en-US"/>
        </w:rPr>
        <w:t xml:space="preserve"> </w:t>
      </w:r>
      <w:r w:rsidR="001C5482" w:rsidRPr="00A43C4A">
        <w:rPr>
          <w:rFonts w:ascii="Arial" w:hAnsi="Arial" w:cs="Arial"/>
          <w:lang w:val="en-US"/>
        </w:rPr>
        <w:t>The AWR therefore plays an important role in protecting the needs of low paid and award</w:t>
      </w:r>
      <w:r w:rsidR="0026586F">
        <w:rPr>
          <w:rFonts w:ascii="Arial" w:hAnsi="Arial" w:cs="Arial"/>
          <w:lang w:val="en-US"/>
        </w:rPr>
        <w:t>-</w:t>
      </w:r>
      <w:r w:rsidR="001C5482" w:rsidRPr="00A43C4A">
        <w:rPr>
          <w:rFonts w:ascii="Arial" w:hAnsi="Arial" w:cs="Arial"/>
          <w:lang w:val="en-US"/>
        </w:rPr>
        <w:t>reliant women, and this is a</w:t>
      </w:r>
      <w:r w:rsidR="00936A4A" w:rsidRPr="00A43C4A">
        <w:rPr>
          <w:rFonts w:ascii="Arial" w:hAnsi="Arial" w:cs="Arial"/>
          <w:lang w:val="en-US"/>
        </w:rPr>
        <w:t xml:space="preserve"> factor</w:t>
      </w:r>
      <w:r w:rsidR="00A43C4A" w:rsidRPr="00A43C4A">
        <w:rPr>
          <w:rFonts w:ascii="Arial" w:hAnsi="Arial" w:cs="Arial"/>
          <w:lang w:val="en-US"/>
        </w:rPr>
        <w:t xml:space="preserve"> warranting consideration in 2020.</w:t>
      </w:r>
      <w:r w:rsidR="00482C8C" w:rsidRPr="00A43C4A">
        <w:rPr>
          <w:rFonts w:ascii="Arial" w:hAnsi="Arial" w:cs="Arial"/>
          <w:lang w:val="en-US"/>
        </w:rPr>
        <w:t xml:space="preserve"> </w:t>
      </w:r>
    </w:p>
    <w:p w:rsidR="000200DD" w:rsidRPr="00F0593D" w:rsidRDefault="000200DD" w:rsidP="000200DD">
      <w:pPr>
        <w:pBdr>
          <w:bottom w:val="single" w:sz="4" w:space="1" w:color="auto"/>
        </w:pBdr>
        <w:spacing w:after="240" w:line="240" w:lineRule="auto"/>
        <w:jc w:val="both"/>
        <w:rPr>
          <w:rFonts w:ascii="Arial" w:hAnsi="Arial" w:cs="Arial"/>
          <w:b/>
          <w:color w:val="C00000"/>
          <w:lang w:val="en-US"/>
        </w:rPr>
      </w:pPr>
      <w:r w:rsidRPr="00F0593D">
        <w:rPr>
          <w:rFonts w:ascii="Arial" w:hAnsi="Arial" w:cs="Arial"/>
          <w:b/>
          <w:color w:val="C00000"/>
          <w:lang w:val="en-US"/>
        </w:rPr>
        <w:t>Recent events affecting Australian industry</w:t>
      </w:r>
    </w:p>
    <w:p w:rsidR="000200DD" w:rsidRPr="00F0593D" w:rsidRDefault="000200DD" w:rsidP="000200DD">
      <w:pPr>
        <w:numPr>
          <w:ilvl w:val="0"/>
          <w:numId w:val="25"/>
        </w:numPr>
        <w:spacing w:after="240" w:line="240" w:lineRule="auto"/>
        <w:ind w:left="567" w:hanging="567"/>
        <w:jc w:val="both"/>
        <w:rPr>
          <w:rFonts w:cstheme="minorHAnsi"/>
          <w:color w:val="000000"/>
          <w:shd w:val="clear" w:color="auto" w:fill="FFFFFF"/>
        </w:rPr>
      </w:pPr>
      <w:r w:rsidRPr="00F0593D">
        <w:rPr>
          <w:rFonts w:cstheme="minorHAnsi"/>
          <w:color w:val="000000"/>
          <w:shd w:val="clear" w:color="auto" w:fill="FFFFFF"/>
        </w:rPr>
        <w:t xml:space="preserve">The Western Australian Government acknowledges that certain recent events, both domestic and international, have created a degree of uncertainty about Australia’s short-term economic prospects. </w:t>
      </w:r>
    </w:p>
    <w:p w:rsidR="000200DD" w:rsidRPr="00F0593D" w:rsidRDefault="000200DD" w:rsidP="000200DD">
      <w:pPr>
        <w:numPr>
          <w:ilvl w:val="0"/>
          <w:numId w:val="25"/>
        </w:numPr>
        <w:spacing w:after="240" w:line="240" w:lineRule="auto"/>
        <w:ind w:left="567" w:hanging="567"/>
        <w:jc w:val="both"/>
        <w:rPr>
          <w:rFonts w:cstheme="minorHAnsi"/>
          <w:color w:val="000000"/>
          <w:shd w:val="clear" w:color="auto" w:fill="FFFFFF"/>
        </w:rPr>
      </w:pPr>
      <w:r w:rsidRPr="00F0593D">
        <w:rPr>
          <w:rFonts w:cstheme="minorHAnsi"/>
          <w:color w:val="000000"/>
          <w:shd w:val="clear" w:color="auto" w:fill="FFFFFF"/>
        </w:rPr>
        <w:t xml:space="preserve">The outbreak of the novel coronavirus (COVID-19) represents a significant challenge for the Australian economy. As the Reserve Bank of Australia recently articulated: </w:t>
      </w:r>
    </w:p>
    <w:p w:rsidR="000200DD" w:rsidRPr="00F0593D" w:rsidRDefault="000200DD" w:rsidP="000200DD">
      <w:pPr>
        <w:spacing w:after="240" w:line="240" w:lineRule="auto"/>
        <w:ind w:left="851" w:right="284"/>
        <w:jc w:val="both"/>
        <w:rPr>
          <w:rFonts w:cstheme="minorHAnsi"/>
          <w:color w:val="000000"/>
          <w:sz w:val="20"/>
          <w:szCs w:val="20"/>
          <w:shd w:val="clear" w:color="auto" w:fill="FFFFFF"/>
        </w:rPr>
      </w:pPr>
      <w:r>
        <w:rPr>
          <w:rFonts w:cstheme="minorHAnsi"/>
          <w:color w:val="000000"/>
          <w:sz w:val="20"/>
          <w:szCs w:val="20"/>
          <w:shd w:val="clear" w:color="auto" w:fill="FFFFFF"/>
        </w:rPr>
        <w:t>“</w:t>
      </w:r>
      <w:r w:rsidRPr="00F0593D">
        <w:rPr>
          <w:rFonts w:cstheme="minorHAnsi"/>
          <w:color w:val="000000"/>
          <w:sz w:val="20"/>
          <w:szCs w:val="20"/>
          <w:shd w:val="clear" w:color="auto" w:fill="FFFFFF"/>
        </w:rPr>
        <w:t>In terms of the effect on the Australian economy, we have estimated the direct impact on the education and tourism sectors in the March quarter … Since January, inbound airline capacity from China has declined by 90 per cent, which gives a guide to the size of the decline in arrivals from China. Up until recently, tourist arrivals from other countries had held up reasonably well but that may no longer be true. From our liaison with the education sector, including the universities, as well as student visa numbers, we have information on the number of foreign students who have been unable to resume their studies.</w:t>
      </w:r>
    </w:p>
    <w:p w:rsidR="000200DD" w:rsidRPr="00F0593D" w:rsidRDefault="000200DD" w:rsidP="000200DD">
      <w:pPr>
        <w:shd w:val="clear" w:color="auto" w:fill="FFFFFF"/>
        <w:spacing w:before="240" w:after="240" w:line="240" w:lineRule="auto"/>
        <w:ind w:left="851" w:right="284"/>
        <w:jc w:val="both"/>
        <w:rPr>
          <w:rFonts w:cstheme="minorHAnsi"/>
          <w:color w:val="000000"/>
          <w:sz w:val="20"/>
          <w:szCs w:val="20"/>
          <w:lang w:eastAsia="en-AU"/>
        </w:rPr>
      </w:pPr>
      <w:r w:rsidRPr="00F0593D">
        <w:rPr>
          <w:rFonts w:cstheme="minorHAnsi"/>
          <w:color w:val="000000"/>
          <w:sz w:val="20"/>
          <w:szCs w:val="20"/>
          <w:lang w:eastAsia="en-AU"/>
        </w:rPr>
        <w:t>We have used this information to estimate the impact of the virus in these two sectors of the economy. The estimate is approximate, but at this stage we think the decline in services exports in the March quarter will amount to at least 10 per cent, roughly evenly split between lower tourism and education exports. As service exports account for 5 per cent of GDP, this translates into a subtraction from growth of ½ per cent of GDP in the March quarter from these two sources.</w:t>
      </w:r>
    </w:p>
    <w:p w:rsidR="000200DD" w:rsidRPr="00F0593D" w:rsidRDefault="000200DD" w:rsidP="000200DD">
      <w:pPr>
        <w:shd w:val="clear" w:color="auto" w:fill="FFFFFF"/>
        <w:spacing w:before="240" w:after="240" w:line="240" w:lineRule="auto"/>
        <w:ind w:left="851" w:right="284"/>
        <w:jc w:val="both"/>
        <w:rPr>
          <w:rFonts w:cstheme="minorHAnsi"/>
          <w:color w:val="000000"/>
          <w:sz w:val="20"/>
          <w:szCs w:val="20"/>
          <w:lang w:eastAsia="en-AU"/>
        </w:rPr>
      </w:pPr>
      <w:r w:rsidRPr="00F0593D">
        <w:rPr>
          <w:rFonts w:cstheme="minorHAnsi"/>
          <w:color w:val="000000"/>
          <w:sz w:val="20"/>
          <w:szCs w:val="20"/>
          <w:lang w:eastAsia="en-AU"/>
        </w:rPr>
        <w:t>Through our business liaison program we are gathering information on supply chain disruptions which are affecting the construction and retail sectors in particular. Clearly we are still only in the early weeks of March, so the picture can change from here.</w:t>
      </w:r>
    </w:p>
    <w:p w:rsidR="000200DD" w:rsidRPr="00F0593D" w:rsidRDefault="000200DD" w:rsidP="000200DD">
      <w:pPr>
        <w:shd w:val="clear" w:color="auto" w:fill="FFFFFF"/>
        <w:spacing w:before="240" w:after="240" w:line="240" w:lineRule="auto"/>
        <w:ind w:left="851" w:right="284"/>
        <w:jc w:val="both"/>
        <w:rPr>
          <w:rFonts w:cstheme="minorHAnsi"/>
          <w:color w:val="000000"/>
          <w:sz w:val="20"/>
          <w:szCs w:val="20"/>
          <w:shd w:val="clear" w:color="auto" w:fill="FFFFFF"/>
          <w:lang w:eastAsia="en-AU"/>
        </w:rPr>
      </w:pPr>
      <w:r w:rsidRPr="00F0593D">
        <w:rPr>
          <w:rFonts w:cstheme="minorHAnsi"/>
          <w:color w:val="000000"/>
          <w:sz w:val="20"/>
          <w:szCs w:val="20"/>
          <w:lang w:eastAsia="en-AU"/>
        </w:rPr>
        <w:t>It is just too uncertain to assess the impact of the virus beyond the March quarter.</w:t>
      </w:r>
      <w:r>
        <w:rPr>
          <w:rFonts w:cstheme="minorHAnsi"/>
          <w:color w:val="000000"/>
          <w:sz w:val="20"/>
          <w:szCs w:val="20"/>
          <w:lang w:eastAsia="en-AU"/>
        </w:rPr>
        <w:t>”</w:t>
      </w:r>
      <w:r w:rsidRPr="00F0593D">
        <w:rPr>
          <w:rFonts w:cstheme="minorHAnsi"/>
          <w:color w:val="000000"/>
          <w:sz w:val="20"/>
          <w:szCs w:val="20"/>
          <w:shd w:val="clear" w:color="auto" w:fill="FFFFFF"/>
          <w:vertAlign w:val="superscript"/>
          <w:lang w:eastAsia="en-AU"/>
        </w:rPr>
        <w:footnoteReference w:id="35"/>
      </w:r>
      <w:r w:rsidRPr="00F0593D">
        <w:rPr>
          <w:rFonts w:cstheme="minorHAnsi"/>
          <w:color w:val="000000"/>
          <w:sz w:val="20"/>
          <w:szCs w:val="20"/>
          <w:shd w:val="clear" w:color="auto" w:fill="FFFFFF"/>
          <w:lang w:eastAsia="en-AU"/>
        </w:rPr>
        <w:t> </w:t>
      </w:r>
    </w:p>
    <w:p w:rsidR="00490B43" w:rsidRDefault="00490B43">
      <w:pPr>
        <w:spacing w:after="200"/>
        <w:rPr>
          <w:rFonts w:cstheme="minorHAnsi"/>
          <w:color w:val="000000"/>
          <w:shd w:val="clear" w:color="auto" w:fill="FFFFFF"/>
        </w:rPr>
      </w:pPr>
      <w:r>
        <w:rPr>
          <w:rFonts w:cstheme="minorHAnsi"/>
          <w:color w:val="000000"/>
          <w:shd w:val="clear" w:color="auto" w:fill="FFFFFF"/>
        </w:rPr>
        <w:br w:type="page"/>
      </w:r>
    </w:p>
    <w:p w:rsidR="000200DD" w:rsidRPr="00F0593D" w:rsidRDefault="0087303A" w:rsidP="000200DD">
      <w:pPr>
        <w:numPr>
          <w:ilvl w:val="0"/>
          <w:numId w:val="25"/>
        </w:numPr>
        <w:spacing w:after="240" w:line="240" w:lineRule="auto"/>
        <w:ind w:left="567" w:hanging="567"/>
        <w:jc w:val="both"/>
        <w:rPr>
          <w:rFonts w:cstheme="minorHAnsi"/>
          <w:color w:val="000000"/>
          <w:shd w:val="clear" w:color="auto" w:fill="FFFFFF"/>
        </w:rPr>
      </w:pPr>
      <w:r>
        <w:rPr>
          <w:rFonts w:cstheme="minorHAnsi"/>
          <w:color w:val="000000"/>
          <w:shd w:val="clear" w:color="auto" w:fill="FFFFFF"/>
        </w:rPr>
        <w:lastRenderedPageBreak/>
        <w:t>COVID-19</w:t>
      </w:r>
      <w:r w:rsidR="000200DD" w:rsidRPr="00F0593D">
        <w:rPr>
          <w:rFonts w:cstheme="minorHAnsi"/>
          <w:color w:val="000000"/>
          <w:shd w:val="clear" w:color="auto" w:fill="FFFFFF"/>
        </w:rPr>
        <w:t xml:space="preserve"> is rapidly evolving around the globe, with significant outbreaks occurring in China, South Korea, Iran and Italy. While it is too early to full</w:t>
      </w:r>
      <w:r w:rsidR="000200DD">
        <w:rPr>
          <w:rFonts w:cstheme="minorHAnsi"/>
          <w:color w:val="000000"/>
          <w:shd w:val="clear" w:color="auto" w:fill="FFFFFF"/>
        </w:rPr>
        <w:t>y</w:t>
      </w:r>
      <w:r w:rsidR="000200DD" w:rsidRPr="00F0593D">
        <w:rPr>
          <w:rFonts w:cstheme="minorHAnsi"/>
          <w:color w:val="000000"/>
          <w:shd w:val="clear" w:color="auto" w:fill="FFFFFF"/>
        </w:rPr>
        <w:t xml:space="preserve"> assess the economic impact of the </w:t>
      </w:r>
      <w:r>
        <w:rPr>
          <w:rFonts w:cstheme="minorHAnsi"/>
          <w:color w:val="000000"/>
          <w:shd w:val="clear" w:color="auto" w:fill="FFFFFF"/>
        </w:rPr>
        <w:t>COVID-19</w:t>
      </w:r>
      <w:r w:rsidR="000200DD" w:rsidRPr="00F0593D">
        <w:rPr>
          <w:rFonts w:cstheme="minorHAnsi"/>
          <w:color w:val="000000"/>
          <w:shd w:val="clear" w:color="auto" w:fill="FFFFFF"/>
        </w:rPr>
        <w:t xml:space="preserve">, Western Australia maintains strong economic ties with China. Many of the actions taken to contain the spread of the virus, both here and abroad, will have flow on implications for the Western Australian and national economies. </w:t>
      </w:r>
    </w:p>
    <w:p w:rsidR="000200DD" w:rsidRPr="00F0593D" w:rsidRDefault="000200DD" w:rsidP="000200DD">
      <w:pPr>
        <w:numPr>
          <w:ilvl w:val="0"/>
          <w:numId w:val="25"/>
        </w:numPr>
        <w:spacing w:after="240" w:line="240" w:lineRule="auto"/>
        <w:ind w:left="567" w:hanging="567"/>
        <w:jc w:val="both"/>
        <w:rPr>
          <w:rFonts w:cstheme="minorHAnsi"/>
          <w:color w:val="000000"/>
          <w:shd w:val="clear" w:color="auto" w:fill="FFFFFF"/>
        </w:rPr>
      </w:pPr>
      <w:r w:rsidRPr="00F0593D">
        <w:rPr>
          <w:rFonts w:cstheme="minorHAnsi"/>
          <w:color w:val="000000"/>
          <w:shd w:val="clear" w:color="auto" w:fill="FFFFFF"/>
        </w:rPr>
        <w:t xml:space="preserve">Shutdowns in manufacturing, disruption to business activities, shifts in supply and demand of goods and services, and the quarantining of populations, are likely to have a significant impact on affected industries. The situation concerning </w:t>
      </w:r>
      <w:r w:rsidR="0087303A">
        <w:rPr>
          <w:rFonts w:cstheme="minorHAnsi"/>
          <w:color w:val="000000"/>
          <w:shd w:val="clear" w:color="auto" w:fill="FFFFFF"/>
        </w:rPr>
        <w:t xml:space="preserve">   COVID-19</w:t>
      </w:r>
      <w:r w:rsidRPr="00F0593D">
        <w:rPr>
          <w:rFonts w:cstheme="minorHAnsi"/>
          <w:color w:val="000000"/>
          <w:shd w:val="clear" w:color="auto" w:fill="FFFFFF"/>
        </w:rPr>
        <w:t xml:space="preserve"> is changing rapidly on a daily basis, and federal and state governments have been developing targeted interventions and stimulus packages to cushion the financial impact.      </w:t>
      </w:r>
    </w:p>
    <w:p w:rsidR="0087303A" w:rsidRPr="00FA7CD3" w:rsidRDefault="000200DD" w:rsidP="000200DD">
      <w:pPr>
        <w:numPr>
          <w:ilvl w:val="0"/>
          <w:numId w:val="25"/>
        </w:numPr>
        <w:spacing w:after="240" w:line="240" w:lineRule="auto"/>
        <w:ind w:left="567" w:hanging="567"/>
        <w:jc w:val="both"/>
        <w:rPr>
          <w:rFonts w:cstheme="minorHAnsi"/>
          <w:color w:val="000000"/>
          <w:shd w:val="clear" w:color="auto" w:fill="FFFFFF"/>
        </w:rPr>
      </w:pPr>
      <w:r w:rsidRPr="00F0593D">
        <w:rPr>
          <w:rFonts w:cstheme="minorHAnsi"/>
          <w:color w:val="000000"/>
          <w:shd w:val="clear" w:color="auto" w:fill="FFFFFF"/>
        </w:rPr>
        <w:t xml:space="preserve">The Western Australian Government has taken a number of measures to combat </w:t>
      </w:r>
      <w:r w:rsidR="0087303A">
        <w:rPr>
          <w:rFonts w:cstheme="minorHAnsi"/>
          <w:color w:val="000000"/>
          <w:shd w:val="clear" w:color="auto" w:fill="FFFFFF"/>
        </w:rPr>
        <w:t>COVID-19</w:t>
      </w:r>
      <w:r w:rsidRPr="00F0593D">
        <w:rPr>
          <w:rFonts w:cstheme="minorHAnsi"/>
          <w:color w:val="000000"/>
          <w:shd w:val="clear" w:color="auto" w:fill="FFFFFF"/>
        </w:rPr>
        <w:t xml:space="preserve">, and is continuously monitoring the situation. Further information on Western Australian Government initiatives is available at: </w:t>
      </w:r>
      <w:hyperlink r:id="rId23" w:history="1">
        <w:r w:rsidRPr="00F0593D">
          <w:rPr>
            <w:color w:val="0000FF" w:themeColor="hyperlink"/>
            <w:u w:val="single"/>
          </w:rPr>
          <w:t>www.wa.gov.au/organisation/department-of-the-premier-and-cabinet/coronavirus-covid-19-western-australian-government-response</w:t>
        </w:r>
      </w:hyperlink>
    </w:p>
    <w:p w:rsidR="000E1546" w:rsidRDefault="00FA7CD3" w:rsidP="00FA7CD3">
      <w:pPr>
        <w:numPr>
          <w:ilvl w:val="0"/>
          <w:numId w:val="25"/>
        </w:numPr>
        <w:spacing w:after="240" w:line="240" w:lineRule="auto"/>
        <w:ind w:left="567" w:hanging="567"/>
        <w:jc w:val="both"/>
        <w:rPr>
          <w:rFonts w:cstheme="minorHAnsi"/>
          <w:color w:val="000000"/>
          <w:shd w:val="clear" w:color="auto" w:fill="FFFFFF"/>
        </w:rPr>
      </w:pPr>
      <w:r>
        <w:rPr>
          <w:color w:val="000000" w:themeColor="text1"/>
        </w:rPr>
        <w:t>Of particular note, on 16 March 2020 the Western Australian Government announced a $607 million stimulus package to provide relief to small businesses and households. As part of the package, household fees and charges will be fro</w:t>
      </w:r>
      <w:r w:rsidR="000E1546">
        <w:rPr>
          <w:color w:val="000000" w:themeColor="text1"/>
        </w:rPr>
        <w:t>zen until at least 1 July 2021, including e</w:t>
      </w:r>
      <w:r>
        <w:rPr>
          <w:rFonts w:cstheme="minorHAnsi"/>
          <w:color w:val="000000"/>
          <w:shd w:val="clear" w:color="auto" w:fill="FFFFFF"/>
        </w:rPr>
        <w:t>lectricity, water, motor vehicle charges, emergency services levy and public transport fares.</w:t>
      </w:r>
    </w:p>
    <w:p w:rsidR="00FA7CD3" w:rsidRPr="000E1546" w:rsidRDefault="000E1546" w:rsidP="00FA7CD3">
      <w:pPr>
        <w:numPr>
          <w:ilvl w:val="0"/>
          <w:numId w:val="25"/>
        </w:numPr>
        <w:spacing w:after="240" w:line="240" w:lineRule="auto"/>
        <w:ind w:left="567" w:hanging="567"/>
        <w:jc w:val="both"/>
        <w:rPr>
          <w:rFonts w:cstheme="minorHAnsi"/>
          <w:color w:val="000000"/>
          <w:shd w:val="clear" w:color="auto" w:fill="FFFFFF"/>
        </w:rPr>
      </w:pPr>
      <w:r w:rsidRPr="000E1546">
        <w:rPr>
          <w:rFonts w:cstheme="minorHAnsi"/>
          <w:color w:val="000000"/>
          <w:shd w:val="clear" w:color="auto" w:fill="FFFFFF"/>
        </w:rPr>
        <w:t xml:space="preserve">Other initiatives being implemented as part of the stimulus package include: </w:t>
      </w:r>
      <w:r w:rsidR="00FA7CD3" w:rsidRPr="000E1546">
        <w:rPr>
          <w:rFonts w:cstheme="minorHAnsi"/>
          <w:color w:val="000000"/>
          <w:shd w:val="clear" w:color="auto" w:fill="FFFFFF"/>
        </w:rPr>
        <w:t xml:space="preserve"> </w:t>
      </w:r>
      <w:r w:rsidR="00FA7CD3" w:rsidRPr="000E1546">
        <w:rPr>
          <w:color w:val="000000" w:themeColor="text1"/>
        </w:rPr>
        <w:t xml:space="preserve"> </w:t>
      </w:r>
    </w:p>
    <w:p w:rsidR="00FA7CD3" w:rsidRPr="00FA7CD3" w:rsidRDefault="000E1546" w:rsidP="0087303A">
      <w:pPr>
        <w:numPr>
          <w:ilvl w:val="0"/>
          <w:numId w:val="32"/>
        </w:numPr>
        <w:shd w:val="clear" w:color="auto" w:fill="FFFFFF"/>
        <w:spacing w:line="240" w:lineRule="auto"/>
        <w:ind w:left="851" w:hanging="284"/>
        <w:jc w:val="both"/>
        <w:rPr>
          <w:rFonts w:ascii="Arial" w:hAnsi="Arial" w:cs="Arial"/>
          <w:color w:val="000000" w:themeColor="text1"/>
          <w:lang w:val="en" w:eastAsia="en-AU"/>
        </w:rPr>
      </w:pPr>
      <w:r>
        <w:rPr>
          <w:rFonts w:ascii="Arial" w:hAnsi="Arial" w:cs="Arial"/>
          <w:color w:val="000000" w:themeColor="text1"/>
          <w:lang w:val="en" w:eastAsia="en-AU"/>
        </w:rPr>
        <w:t>D</w:t>
      </w:r>
      <w:r w:rsidRPr="000E1546">
        <w:rPr>
          <w:rFonts w:ascii="Arial" w:hAnsi="Arial" w:cs="Arial"/>
          <w:color w:val="000000" w:themeColor="text1"/>
          <w:lang w:val="en" w:eastAsia="en-AU"/>
        </w:rPr>
        <w:t xml:space="preserve">oubling the </w:t>
      </w:r>
      <w:r w:rsidR="00FA7CD3" w:rsidRPr="00FA7CD3">
        <w:rPr>
          <w:rFonts w:ascii="Arial" w:hAnsi="Arial" w:cs="Arial"/>
          <w:color w:val="000000" w:themeColor="text1"/>
          <w:lang w:val="en" w:eastAsia="en-AU"/>
        </w:rPr>
        <w:t xml:space="preserve">Energy Assistance Payment (EAP) </w:t>
      </w:r>
      <w:r w:rsidRPr="000E1546">
        <w:rPr>
          <w:rFonts w:ascii="Arial" w:hAnsi="Arial" w:cs="Arial"/>
          <w:color w:val="000000" w:themeColor="text1"/>
          <w:lang w:val="en" w:eastAsia="en-AU"/>
        </w:rPr>
        <w:t>provided t</w:t>
      </w:r>
      <w:r w:rsidR="00FA7CD3" w:rsidRPr="00FA7CD3">
        <w:rPr>
          <w:rFonts w:ascii="Arial" w:hAnsi="Arial" w:cs="Arial"/>
          <w:color w:val="000000" w:themeColor="text1"/>
          <w:lang w:val="en" w:eastAsia="en-AU"/>
        </w:rPr>
        <w:t xml:space="preserve">o </w:t>
      </w:r>
      <w:r w:rsidRPr="000E1546">
        <w:rPr>
          <w:rFonts w:ascii="Arial" w:hAnsi="Arial" w:cs="Arial"/>
          <w:color w:val="000000" w:themeColor="text1"/>
          <w:lang w:val="en" w:eastAsia="en-AU"/>
        </w:rPr>
        <w:t>eligible concession car holders</w:t>
      </w:r>
      <w:r w:rsidR="00FA7CD3" w:rsidRPr="00FA7CD3">
        <w:rPr>
          <w:rFonts w:ascii="Arial" w:hAnsi="Arial" w:cs="Arial"/>
          <w:color w:val="000000" w:themeColor="text1"/>
          <w:lang w:val="en" w:eastAsia="en-AU"/>
        </w:rPr>
        <w:t xml:space="preserve">, </w:t>
      </w:r>
      <w:r w:rsidRPr="000E1546">
        <w:rPr>
          <w:rFonts w:ascii="Arial" w:hAnsi="Arial" w:cs="Arial"/>
          <w:color w:val="000000" w:themeColor="text1"/>
          <w:lang w:val="en" w:eastAsia="en-AU"/>
        </w:rPr>
        <w:t>from $300 to $600</w:t>
      </w:r>
    </w:p>
    <w:p w:rsidR="00FA7CD3" w:rsidRPr="00FA7CD3" w:rsidRDefault="000E1546" w:rsidP="0087303A">
      <w:pPr>
        <w:numPr>
          <w:ilvl w:val="0"/>
          <w:numId w:val="32"/>
        </w:numPr>
        <w:shd w:val="clear" w:color="auto" w:fill="FFFFFF"/>
        <w:spacing w:line="240" w:lineRule="auto"/>
        <w:ind w:left="851" w:hanging="284"/>
        <w:jc w:val="both"/>
        <w:rPr>
          <w:rFonts w:ascii="Arial" w:hAnsi="Arial" w:cs="Arial"/>
          <w:color w:val="000000" w:themeColor="text1"/>
          <w:lang w:val="en" w:eastAsia="en-AU"/>
        </w:rPr>
      </w:pPr>
      <w:r>
        <w:rPr>
          <w:rFonts w:ascii="Arial" w:hAnsi="Arial" w:cs="Arial"/>
          <w:color w:val="000000" w:themeColor="text1"/>
          <w:lang w:val="en" w:eastAsia="en-AU"/>
        </w:rPr>
        <w:t>Providing a</w:t>
      </w:r>
      <w:r w:rsidRPr="000E1546">
        <w:rPr>
          <w:rFonts w:ascii="Arial" w:hAnsi="Arial" w:cs="Arial"/>
          <w:color w:val="000000" w:themeColor="text1"/>
          <w:lang w:val="en" w:eastAsia="en-AU"/>
        </w:rPr>
        <w:t xml:space="preserve"> one off grant of $17,500 to s</w:t>
      </w:r>
      <w:r w:rsidR="00FA7CD3" w:rsidRPr="00FA7CD3">
        <w:rPr>
          <w:rFonts w:ascii="Arial" w:hAnsi="Arial" w:cs="Arial"/>
          <w:color w:val="000000" w:themeColor="text1"/>
          <w:lang w:val="en" w:eastAsia="en-AU"/>
        </w:rPr>
        <w:t>mall businesses that pay payroll tax</w:t>
      </w:r>
    </w:p>
    <w:p w:rsidR="00FA7CD3" w:rsidRPr="00FA7CD3" w:rsidRDefault="000E1546" w:rsidP="0087303A">
      <w:pPr>
        <w:numPr>
          <w:ilvl w:val="0"/>
          <w:numId w:val="32"/>
        </w:numPr>
        <w:shd w:val="clear" w:color="auto" w:fill="FFFFFF"/>
        <w:spacing w:line="240" w:lineRule="auto"/>
        <w:ind w:left="851" w:hanging="284"/>
        <w:jc w:val="both"/>
        <w:rPr>
          <w:rFonts w:ascii="Arial" w:hAnsi="Arial" w:cs="Arial"/>
          <w:color w:val="000000" w:themeColor="text1"/>
          <w:lang w:val="en" w:eastAsia="en-AU"/>
        </w:rPr>
      </w:pPr>
      <w:r w:rsidRPr="000E1546">
        <w:rPr>
          <w:rFonts w:ascii="Arial" w:hAnsi="Arial" w:cs="Arial"/>
          <w:color w:val="000000" w:themeColor="text1"/>
          <w:lang w:val="en" w:eastAsia="en-AU"/>
        </w:rPr>
        <w:t>Bringing forward a</w:t>
      </w:r>
      <w:r>
        <w:rPr>
          <w:rFonts w:ascii="Arial" w:hAnsi="Arial" w:cs="Arial"/>
          <w:color w:val="000000" w:themeColor="text1"/>
          <w:lang w:val="en" w:eastAsia="en-AU"/>
        </w:rPr>
        <w:t xml:space="preserve"> scheduled </w:t>
      </w:r>
      <w:r w:rsidRPr="000E1546">
        <w:rPr>
          <w:rFonts w:ascii="Arial" w:hAnsi="Arial" w:cs="Arial"/>
          <w:color w:val="000000" w:themeColor="text1"/>
          <w:lang w:val="en" w:eastAsia="en-AU"/>
        </w:rPr>
        <w:t xml:space="preserve">increase to the </w:t>
      </w:r>
      <w:r w:rsidR="00FA7CD3" w:rsidRPr="00FA7CD3">
        <w:rPr>
          <w:rFonts w:ascii="Arial" w:hAnsi="Arial" w:cs="Arial"/>
          <w:color w:val="000000" w:themeColor="text1"/>
          <w:lang w:val="en" w:eastAsia="en-AU"/>
        </w:rPr>
        <w:t>payroll tax</w:t>
      </w:r>
      <w:r w:rsidRPr="000E1546">
        <w:rPr>
          <w:rFonts w:ascii="Arial" w:hAnsi="Arial" w:cs="Arial"/>
          <w:color w:val="000000" w:themeColor="text1"/>
          <w:lang w:val="en" w:eastAsia="en-AU"/>
        </w:rPr>
        <w:t xml:space="preserve"> threshold</w:t>
      </w:r>
    </w:p>
    <w:p w:rsidR="00FA7CD3" w:rsidRPr="00FA7CD3" w:rsidRDefault="000E1546" w:rsidP="0087303A">
      <w:pPr>
        <w:numPr>
          <w:ilvl w:val="0"/>
          <w:numId w:val="32"/>
        </w:numPr>
        <w:shd w:val="clear" w:color="auto" w:fill="FFFFFF"/>
        <w:spacing w:after="240" w:line="240" w:lineRule="auto"/>
        <w:ind w:left="851" w:hanging="284"/>
        <w:jc w:val="both"/>
        <w:rPr>
          <w:rFonts w:ascii="Arial" w:hAnsi="Arial" w:cs="Arial"/>
          <w:color w:val="000000" w:themeColor="text1"/>
          <w:lang w:val="en" w:eastAsia="en-AU"/>
        </w:rPr>
      </w:pPr>
      <w:r w:rsidRPr="000E1546">
        <w:rPr>
          <w:rFonts w:ascii="Arial" w:hAnsi="Arial" w:cs="Arial"/>
          <w:color w:val="000000" w:themeColor="text1"/>
          <w:lang w:val="en" w:eastAsia="en-AU"/>
        </w:rPr>
        <w:t>Allowing b</w:t>
      </w:r>
      <w:r w:rsidR="00FA7CD3" w:rsidRPr="00FA7CD3">
        <w:rPr>
          <w:rFonts w:ascii="Arial" w:hAnsi="Arial" w:cs="Arial"/>
          <w:color w:val="000000" w:themeColor="text1"/>
          <w:lang w:val="en" w:eastAsia="en-AU"/>
        </w:rPr>
        <w:t xml:space="preserve">usinesses impacted by COVID-19 </w:t>
      </w:r>
      <w:r w:rsidRPr="000E1546">
        <w:rPr>
          <w:rFonts w:ascii="Arial" w:hAnsi="Arial" w:cs="Arial"/>
          <w:color w:val="000000" w:themeColor="text1"/>
          <w:lang w:val="en" w:eastAsia="en-AU"/>
        </w:rPr>
        <w:t>to</w:t>
      </w:r>
      <w:r w:rsidR="00FA7CD3" w:rsidRPr="00FA7CD3">
        <w:rPr>
          <w:rFonts w:ascii="Arial" w:hAnsi="Arial" w:cs="Arial"/>
          <w:color w:val="000000" w:themeColor="text1"/>
          <w:lang w:val="en" w:eastAsia="en-AU"/>
        </w:rPr>
        <w:t xml:space="preserve"> defer payroll tax payments</w:t>
      </w:r>
    </w:p>
    <w:p w:rsidR="000200DD" w:rsidRPr="00F0593D" w:rsidRDefault="0087303A" w:rsidP="000200DD">
      <w:pPr>
        <w:numPr>
          <w:ilvl w:val="0"/>
          <w:numId w:val="25"/>
        </w:numPr>
        <w:spacing w:after="240" w:line="240" w:lineRule="auto"/>
        <w:ind w:left="567" w:hanging="567"/>
        <w:jc w:val="both"/>
        <w:rPr>
          <w:rFonts w:cstheme="minorHAnsi"/>
          <w:color w:val="000000"/>
          <w:shd w:val="clear" w:color="auto" w:fill="FFFFFF"/>
        </w:rPr>
      </w:pPr>
      <w:r>
        <w:rPr>
          <w:rFonts w:cstheme="minorHAnsi"/>
          <w:color w:val="000000"/>
          <w:shd w:val="clear" w:color="auto" w:fill="FFFFFF"/>
        </w:rPr>
        <w:t>In addition to COVID-19, in recent months w</w:t>
      </w:r>
      <w:r w:rsidR="000200DD" w:rsidRPr="00F0593D">
        <w:rPr>
          <w:rFonts w:cstheme="minorHAnsi"/>
          <w:color w:val="000000"/>
          <w:shd w:val="clear" w:color="auto" w:fill="FFFFFF"/>
        </w:rPr>
        <w:t xml:space="preserve">idespread bushfires and ongoing drought have also been seen across much of the country, further affecting parts of the Australian economy. These events have placed pressure on many affected local businesses, particularly those in regional and remote areas. </w:t>
      </w:r>
    </w:p>
    <w:p w:rsidR="000200DD" w:rsidRPr="00F0593D" w:rsidRDefault="000200DD" w:rsidP="000200DD">
      <w:pPr>
        <w:numPr>
          <w:ilvl w:val="0"/>
          <w:numId w:val="25"/>
        </w:numPr>
        <w:spacing w:after="240" w:line="240" w:lineRule="auto"/>
        <w:ind w:left="567" w:hanging="567"/>
        <w:jc w:val="both"/>
        <w:rPr>
          <w:rFonts w:cstheme="minorHAnsi"/>
          <w:color w:val="000000"/>
          <w:shd w:val="clear" w:color="auto" w:fill="FFFFFF"/>
        </w:rPr>
      </w:pPr>
      <w:r w:rsidRPr="00F0593D">
        <w:rPr>
          <w:rFonts w:cstheme="minorHAnsi"/>
          <w:color w:val="000000"/>
          <w:shd w:val="clear" w:color="auto" w:fill="FFFFFF"/>
        </w:rPr>
        <w:t xml:space="preserve">As the Reserve Bank of Australia also noted recently: </w:t>
      </w:r>
    </w:p>
    <w:p w:rsidR="000200DD" w:rsidRPr="00F0593D" w:rsidRDefault="000200DD" w:rsidP="000200DD">
      <w:pPr>
        <w:spacing w:after="240" w:line="240" w:lineRule="auto"/>
        <w:ind w:left="851" w:right="284"/>
        <w:jc w:val="both"/>
        <w:rPr>
          <w:rFonts w:cstheme="minorHAnsi"/>
          <w:color w:val="000000"/>
          <w:sz w:val="20"/>
          <w:szCs w:val="20"/>
          <w:shd w:val="clear" w:color="auto" w:fill="FFFFFF"/>
        </w:rPr>
      </w:pPr>
      <w:r w:rsidRPr="00F0593D">
        <w:rPr>
          <w:rFonts w:cstheme="minorHAnsi"/>
          <w:color w:val="000000"/>
          <w:sz w:val="20"/>
          <w:szCs w:val="20"/>
          <w:shd w:val="clear" w:color="auto" w:fill="FFFFFF"/>
        </w:rPr>
        <w:t>“The other significant domestic issues are the bushfires and the drought. The fires have had a devastating personal and economic impact on the areas affected. In addition to the tragic loss of life, many people have lost their homes and there has been extensive damage to farms, businesses and public infrastructure. Our current estimate is that over the December and March quarters, the fires will have reduced Australian GDP growth by around 0.2 percentage points. The rebuilding effort is expected to broadly offset that effect over the rest of this year. The drought is also continuing to act as a drag on the economy and is expected to reduce GDP growth by a quarter of a percentage point this year.”</w:t>
      </w:r>
      <w:r w:rsidRPr="00F0593D">
        <w:rPr>
          <w:rFonts w:cstheme="minorHAnsi"/>
          <w:color w:val="000000"/>
          <w:sz w:val="20"/>
          <w:szCs w:val="20"/>
          <w:shd w:val="clear" w:color="auto" w:fill="FFFFFF"/>
          <w:vertAlign w:val="superscript"/>
        </w:rPr>
        <w:footnoteReference w:id="36"/>
      </w:r>
    </w:p>
    <w:p w:rsidR="0087303A" w:rsidRPr="00F0593D" w:rsidRDefault="00A559AD" w:rsidP="000200DD">
      <w:pPr>
        <w:numPr>
          <w:ilvl w:val="0"/>
          <w:numId w:val="25"/>
        </w:numPr>
        <w:spacing w:after="240" w:line="240" w:lineRule="auto"/>
        <w:ind w:left="567" w:hanging="567"/>
        <w:contextualSpacing/>
        <w:jc w:val="both"/>
        <w:rPr>
          <w:rFonts w:cstheme="minorHAnsi"/>
          <w:color w:val="000000"/>
          <w:shd w:val="clear" w:color="auto" w:fill="FFFFFF"/>
        </w:rPr>
      </w:pPr>
      <w:r w:rsidRPr="00F0593D">
        <w:rPr>
          <w:rFonts w:cstheme="minorHAnsi"/>
          <w:color w:val="000000"/>
          <w:shd w:val="clear" w:color="auto" w:fill="FFFFFF"/>
        </w:rPr>
        <w:lastRenderedPageBreak/>
        <w:t>While it is too early to assess the full economic impact of these external events, the Western Australian Government acknowledges they are a relevant consideration for the Panel in this year’s AWR.</w:t>
      </w:r>
    </w:p>
    <w:p w:rsidR="000E1546" w:rsidRDefault="000E1546">
      <w:pPr>
        <w:spacing w:after="200"/>
        <w:rPr>
          <w:rFonts w:asciiTheme="majorHAnsi" w:eastAsiaTheme="majorEastAsia" w:hAnsiTheme="majorHAnsi" w:cstheme="majorBidi"/>
          <w:b/>
          <w:bCs/>
          <w:color w:val="0070C0"/>
          <w:sz w:val="32"/>
          <w:szCs w:val="28"/>
        </w:rPr>
      </w:pPr>
    </w:p>
    <w:p w:rsidR="008B0C4E" w:rsidRPr="00E26BBE" w:rsidRDefault="008B0C4E" w:rsidP="008B0C4E">
      <w:pPr>
        <w:keepNext/>
        <w:keepLines/>
        <w:spacing w:before="200" w:after="200"/>
        <w:outlineLvl w:val="0"/>
        <w:rPr>
          <w:rFonts w:asciiTheme="majorHAnsi" w:eastAsiaTheme="majorEastAsia" w:hAnsiTheme="majorHAnsi" w:cstheme="majorBidi"/>
          <w:b/>
          <w:bCs/>
          <w:color w:val="0070C0"/>
          <w:sz w:val="32"/>
          <w:szCs w:val="28"/>
        </w:rPr>
      </w:pPr>
      <w:r w:rsidRPr="00E26BBE">
        <w:rPr>
          <w:rFonts w:asciiTheme="majorHAnsi" w:eastAsiaTheme="majorEastAsia" w:hAnsiTheme="majorHAnsi" w:cstheme="majorBidi"/>
          <w:b/>
          <w:bCs/>
          <w:color w:val="0070C0"/>
          <w:sz w:val="32"/>
          <w:szCs w:val="28"/>
        </w:rPr>
        <w:t>Conclusion</w:t>
      </w:r>
    </w:p>
    <w:p w:rsidR="00936A4A" w:rsidRPr="005233B2" w:rsidRDefault="00936A4A" w:rsidP="008B0C4E">
      <w:pPr>
        <w:numPr>
          <w:ilvl w:val="0"/>
          <w:numId w:val="25"/>
        </w:numPr>
        <w:spacing w:after="240" w:line="240" w:lineRule="auto"/>
        <w:ind w:left="567" w:hanging="567"/>
        <w:jc w:val="both"/>
        <w:rPr>
          <w:rFonts w:ascii="Arial" w:hAnsi="Arial" w:cs="Arial"/>
          <w:lang w:val="en-US"/>
        </w:rPr>
      </w:pPr>
      <w:r w:rsidRPr="005233B2">
        <w:rPr>
          <w:rFonts w:ascii="Arial" w:hAnsi="Arial" w:cs="Arial"/>
          <w:lang w:val="en-US"/>
        </w:rPr>
        <w:t xml:space="preserve">Over the last 12 months, labour market conditions in Australia have remained </w:t>
      </w:r>
      <w:r w:rsidR="006029B2">
        <w:rPr>
          <w:rFonts w:ascii="Arial" w:hAnsi="Arial" w:cs="Arial"/>
          <w:lang w:val="en-US"/>
        </w:rPr>
        <w:t>largely positive</w:t>
      </w:r>
      <w:r w:rsidRPr="005233B2">
        <w:rPr>
          <w:rFonts w:ascii="Arial" w:hAnsi="Arial" w:cs="Arial"/>
          <w:lang w:val="en-US"/>
        </w:rPr>
        <w:t xml:space="preserve">, </w:t>
      </w:r>
      <w:r w:rsidR="008B0C4E" w:rsidRPr="005233B2">
        <w:rPr>
          <w:rFonts w:ascii="Arial" w:hAnsi="Arial" w:cs="Arial"/>
          <w:lang w:val="en-US"/>
        </w:rPr>
        <w:t>underpinned by steady growth in total employment, low unemployment and increased workforce participation.</w:t>
      </w:r>
      <w:r w:rsidR="005233B2">
        <w:rPr>
          <w:rFonts w:ascii="Arial" w:hAnsi="Arial" w:cs="Arial"/>
          <w:lang w:val="en-US"/>
        </w:rPr>
        <w:t xml:space="preserve"> The Panel’s decision in last year’s AWR assisted many low paid and award</w:t>
      </w:r>
      <w:r w:rsidR="0026586F">
        <w:rPr>
          <w:rFonts w:ascii="Arial" w:hAnsi="Arial" w:cs="Arial"/>
          <w:lang w:val="en-US"/>
        </w:rPr>
        <w:t>-</w:t>
      </w:r>
      <w:r w:rsidR="005233B2">
        <w:rPr>
          <w:rFonts w:ascii="Arial" w:hAnsi="Arial" w:cs="Arial"/>
          <w:lang w:val="en-US"/>
        </w:rPr>
        <w:t xml:space="preserve">reliant workers </w:t>
      </w:r>
      <w:r w:rsidR="00B40FAC">
        <w:rPr>
          <w:rFonts w:ascii="Arial" w:hAnsi="Arial" w:cs="Arial"/>
          <w:lang w:val="en-US"/>
        </w:rPr>
        <w:t>to</w:t>
      </w:r>
      <w:r w:rsidR="005233B2">
        <w:rPr>
          <w:rFonts w:ascii="Arial" w:hAnsi="Arial" w:cs="Arial"/>
          <w:lang w:val="en-US"/>
        </w:rPr>
        <w:t xml:space="preserve"> maintain a </w:t>
      </w:r>
      <w:r w:rsidR="006029B2">
        <w:rPr>
          <w:rFonts w:ascii="Arial" w:hAnsi="Arial" w:cs="Arial"/>
          <w:lang w:val="en-US"/>
        </w:rPr>
        <w:t>reasonable</w:t>
      </w:r>
      <w:r w:rsidR="005233B2">
        <w:rPr>
          <w:rFonts w:ascii="Arial" w:hAnsi="Arial" w:cs="Arial"/>
          <w:lang w:val="en-US"/>
        </w:rPr>
        <w:t xml:space="preserve"> standard of living and </w:t>
      </w:r>
      <w:r w:rsidR="00B40FAC">
        <w:rPr>
          <w:rFonts w:ascii="Arial" w:hAnsi="Arial" w:cs="Arial"/>
          <w:lang w:val="en-US"/>
        </w:rPr>
        <w:t xml:space="preserve">has not </w:t>
      </w:r>
      <w:r w:rsidR="006029B2">
        <w:rPr>
          <w:rFonts w:ascii="Arial" w:hAnsi="Arial" w:cs="Arial"/>
          <w:lang w:val="en-US"/>
        </w:rPr>
        <w:t>impeded Australia’s economic performance.</w:t>
      </w:r>
      <w:r w:rsidR="008B0C4E" w:rsidRPr="005233B2">
        <w:rPr>
          <w:rFonts w:ascii="Arial" w:hAnsi="Arial" w:cs="Arial"/>
          <w:lang w:val="en-US"/>
        </w:rPr>
        <w:t xml:space="preserve"> </w:t>
      </w:r>
    </w:p>
    <w:p w:rsidR="008B0C4E" w:rsidRPr="005233B2" w:rsidRDefault="005233B2" w:rsidP="008B0C4E">
      <w:pPr>
        <w:numPr>
          <w:ilvl w:val="0"/>
          <w:numId w:val="25"/>
        </w:numPr>
        <w:spacing w:after="240" w:line="240" w:lineRule="auto"/>
        <w:ind w:left="567" w:hanging="567"/>
        <w:jc w:val="both"/>
        <w:rPr>
          <w:rFonts w:ascii="Arial" w:hAnsi="Arial" w:cs="Arial"/>
          <w:lang w:val="en-US"/>
        </w:rPr>
      </w:pPr>
      <w:r w:rsidRPr="005233B2">
        <w:rPr>
          <w:rFonts w:ascii="Arial" w:hAnsi="Arial" w:cs="Arial"/>
          <w:lang w:val="en-US"/>
        </w:rPr>
        <w:t xml:space="preserve">Notwithstanding Australia’s relatively buoyant economic conditions, recent </w:t>
      </w:r>
      <w:r w:rsidR="002F4D40">
        <w:rPr>
          <w:rFonts w:ascii="Arial" w:hAnsi="Arial" w:cs="Arial"/>
          <w:lang w:val="en-US"/>
        </w:rPr>
        <w:t xml:space="preserve">global and domestic </w:t>
      </w:r>
      <w:r w:rsidRPr="005233B2">
        <w:rPr>
          <w:rFonts w:ascii="Arial" w:hAnsi="Arial" w:cs="Arial"/>
          <w:lang w:val="en-US"/>
        </w:rPr>
        <w:t>events</w:t>
      </w:r>
      <w:r w:rsidR="002F4D40">
        <w:rPr>
          <w:rFonts w:ascii="Arial" w:hAnsi="Arial" w:cs="Arial"/>
          <w:lang w:val="en-US"/>
        </w:rPr>
        <w:t>,</w:t>
      </w:r>
      <w:r w:rsidRPr="005233B2">
        <w:rPr>
          <w:rFonts w:ascii="Arial" w:hAnsi="Arial" w:cs="Arial"/>
          <w:lang w:val="en-US"/>
        </w:rPr>
        <w:t xml:space="preserve"> including the outbreak of </w:t>
      </w:r>
      <w:r w:rsidR="0087303A">
        <w:rPr>
          <w:rFonts w:ascii="Arial" w:hAnsi="Arial" w:cs="Arial"/>
          <w:lang w:val="en-US"/>
        </w:rPr>
        <w:t>COVID-19 a</w:t>
      </w:r>
      <w:r w:rsidRPr="005233B2">
        <w:rPr>
          <w:rFonts w:ascii="Arial" w:hAnsi="Arial" w:cs="Arial"/>
          <w:lang w:val="en-US"/>
        </w:rPr>
        <w:t xml:space="preserve">nd the devastating bushfires and drought affecting parts of </w:t>
      </w:r>
      <w:r>
        <w:rPr>
          <w:rFonts w:ascii="Arial" w:hAnsi="Arial" w:cs="Arial"/>
          <w:lang w:val="en-US"/>
        </w:rPr>
        <w:t xml:space="preserve">the country, have created </w:t>
      </w:r>
      <w:r w:rsidR="006029B2">
        <w:rPr>
          <w:rFonts w:ascii="Arial" w:hAnsi="Arial" w:cs="Arial"/>
          <w:lang w:val="en-US"/>
        </w:rPr>
        <w:t>c</w:t>
      </w:r>
      <w:r>
        <w:rPr>
          <w:rFonts w:ascii="Arial" w:hAnsi="Arial" w:cs="Arial"/>
          <w:lang w:val="en-US"/>
        </w:rPr>
        <w:t>halleng</w:t>
      </w:r>
      <w:r w:rsidR="00997600">
        <w:rPr>
          <w:rFonts w:ascii="Arial" w:hAnsi="Arial" w:cs="Arial"/>
          <w:lang w:val="en-US"/>
        </w:rPr>
        <w:t>ing</w:t>
      </w:r>
      <w:r>
        <w:rPr>
          <w:rFonts w:ascii="Arial" w:hAnsi="Arial" w:cs="Arial"/>
          <w:lang w:val="en-US"/>
        </w:rPr>
        <w:t xml:space="preserve"> </w:t>
      </w:r>
      <w:r w:rsidR="00B40FAC">
        <w:rPr>
          <w:rFonts w:ascii="Arial" w:hAnsi="Arial" w:cs="Arial"/>
          <w:lang w:val="en-US"/>
        </w:rPr>
        <w:t xml:space="preserve">conditions for affected industries. </w:t>
      </w:r>
      <w:r w:rsidR="008B0C4E" w:rsidRPr="005233B2">
        <w:rPr>
          <w:rFonts w:ascii="Arial" w:hAnsi="Arial" w:cs="Arial"/>
          <w:lang w:val="en-US"/>
        </w:rPr>
        <w:t xml:space="preserve">  </w:t>
      </w:r>
    </w:p>
    <w:p w:rsidR="00FB7500" w:rsidRPr="00F063AB" w:rsidRDefault="008B0C4E" w:rsidP="008B0C4E">
      <w:pPr>
        <w:numPr>
          <w:ilvl w:val="0"/>
          <w:numId w:val="25"/>
        </w:numPr>
        <w:spacing w:after="240" w:line="240" w:lineRule="auto"/>
        <w:ind w:left="567" w:hanging="567"/>
        <w:jc w:val="both"/>
        <w:rPr>
          <w:rFonts w:ascii="Arial" w:hAnsi="Arial" w:cs="Arial"/>
          <w:b/>
          <w:lang w:eastAsia="en-AU"/>
        </w:rPr>
      </w:pPr>
      <w:r w:rsidRPr="00F063AB">
        <w:rPr>
          <w:rFonts w:ascii="Arial" w:hAnsi="Arial" w:cs="Arial"/>
          <w:lang w:val="en-US"/>
        </w:rPr>
        <w:t xml:space="preserve">The Western Australian Government encourages the Panel to award </w:t>
      </w:r>
      <w:r w:rsidR="006029B2" w:rsidRPr="00F063AB">
        <w:rPr>
          <w:rFonts w:ascii="Arial" w:hAnsi="Arial" w:cs="Arial"/>
          <w:lang w:val="en-US"/>
        </w:rPr>
        <w:t xml:space="preserve">an increase in this year’s AWR that supports, protects and advances the needs of </w:t>
      </w:r>
      <w:r w:rsidR="00FB7500" w:rsidRPr="00F063AB">
        <w:rPr>
          <w:rFonts w:ascii="Arial" w:hAnsi="Arial" w:cs="Arial"/>
          <w:lang w:val="en-US"/>
        </w:rPr>
        <w:t xml:space="preserve">Australian workers while balancing the interests of employers and industry. </w:t>
      </w:r>
    </w:p>
    <w:p w:rsidR="008B0C4E" w:rsidRPr="00B40FAC" w:rsidRDefault="00FB7500" w:rsidP="008B0C4E">
      <w:pPr>
        <w:numPr>
          <w:ilvl w:val="0"/>
          <w:numId w:val="25"/>
        </w:numPr>
        <w:spacing w:after="240" w:line="240" w:lineRule="auto"/>
        <w:ind w:left="567" w:hanging="567"/>
        <w:jc w:val="both"/>
        <w:rPr>
          <w:rFonts w:ascii="Arial" w:hAnsi="Arial" w:cs="Arial"/>
          <w:b/>
          <w:lang w:eastAsia="en-AU"/>
        </w:rPr>
      </w:pPr>
      <w:r w:rsidRPr="00B40FAC">
        <w:rPr>
          <w:rFonts w:ascii="Arial" w:hAnsi="Arial" w:cs="Arial"/>
          <w:lang w:val="en-US"/>
        </w:rPr>
        <w:t xml:space="preserve">The Western Australian Government thanks the Panel for the opportunity to make a submission to this year’s AWR. </w:t>
      </w:r>
      <w:r w:rsidR="008B0C4E" w:rsidRPr="00B40FAC">
        <w:rPr>
          <w:rFonts w:ascii="Arial" w:hAnsi="Arial" w:cs="Arial"/>
          <w:lang w:val="en-US"/>
        </w:rPr>
        <w:t xml:space="preserve">  </w:t>
      </w:r>
    </w:p>
    <w:p w:rsidR="008B0C4E" w:rsidRPr="008B0C4E" w:rsidRDefault="008B0C4E" w:rsidP="008B0C4E">
      <w:pPr>
        <w:spacing w:after="240" w:line="240" w:lineRule="auto"/>
        <w:jc w:val="both"/>
        <w:rPr>
          <w:rFonts w:ascii="Arial" w:hAnsi="Arial" w:cs="Arial"/>
          <w:b/>
          <w:lang w:eastAsia="en-AU"/>
        </w:rPr>
      </w:pPr>
    </w:p>
    <w:p w:rsidR="008B0C4E" w:rsidRPr="008B0C4E" w:rsidRDefault="008B0C4E" w:rsidP="008B0C4E">
      <w:pPr>
        <w:spacing w:after="240" w:line="240" w:lineRule="auto"/>
        <w:ind w:left="567" w:hanging="567"/>
        <w:rPr>
          <w:rFonts w:ascii="Arial" w:hAnsi="Arial" w:cs="Arial"/>
          <w:b/>
          <w:lang w:eastAsia="en-AU"/>
        </w:rPr>
      </w:pPr>
    </w:p>
    <w:p w:rsidR="007924A1" w:rsidRDefault="007924A1">
      <w:pPr>
        <w:spacing w:after="200"/>
        <w:rPr>
          <w:rFonts w:ascii="Arial" w:hAnsi="Arial" w:cs="Arial"/>
          <w:b/>
          <w:lang w:eastAsia="en-AU"/>
        </w:rPr>
        <w:sectPr w:rsidR="007924A1" w:rsidSect="00854C85">
          <w:headerReference w:type="even" r:id="rId24"/>
          <w:headerReference w:type="default" r:id="rId25"/>
          <w:footerReference w:type="even" r:id="rId26"/>
          <w:footerReference w:type="default" r:id="rId27"/>
          <w:headerReference w:type="first" r:id="rId28"/>
          <w:footerReference w:type="first" r:id="rId29"/>
          <w:pgSz w:w="11907" w:h="16840" w:code="9"/>
          <w:pgMar w:top="993" w:right="1304" w:bottom="1276" w:left="1304" w:header="709" w:footer="0" w:gutter="0"/>
          <w:pgNumType w:start="1"/>
          <w:cols w:space="708"/>
          <w:docGrid w:linePitch="360"/>
        </w:sectPr>
      </w:pPr>
    </w:p>
    <w:p w:rsidR="00E82159" w:rsidRPr="007F1E50" w:rsidRDefault="00E82159" w:rsidP="00E82159">
      <w:pPr>
        <w:spacing w:after="200"/>
        <w:rPr>
          <w:rFonts w:ascii="Arial" w:hAnsi="Arial" w:cs="Arial"/>
          <w:b/>
          <w:lang w:eastAsia="en-AU"/>
        </w:rPr>
      </w:pPr>
      <w:r w:rsidRPr="007F1E50">
        <w:rPr>
          <w:rFonts w:ascii="Arial" w:hAnsi="Arial" w:cs="Arial"/>
          <w:b/>
          <w:lang w:eastAsia="en-AU"/>
        </w:rPr>
        <w:lastRenderedPageBreak/>
        <w:t xml:space="preserve">ATTACHMENT A </w:t>
      </w:r>
    </w:p>
    <w:p w:rsidR="00E82159" w:rsidRDefault="00E82159" w:rsidP="00E82159">
      <w:pPr>
        <w:spacing w:line="240" w:lineRule="auto"/>
        <w:ind w:left="30"/>
        <w:jc w:val="both"/>
        <w:rPr>
          <w:rFonts w:ascii="Arial" w:hAnsi="Arial" w:cs="Arial"/>
          <w:b/>
          <w:sz w:val="32"/>
          <w:szCs w:val="32"/>
          <w:lang w:eastAsia="en-AU"/>
        </w:rPr>
      </w:pPr>
      <w:r w:rsidRPr="007F1E50">
        <w:rPr>
          <w:rFonts w:ascii="Arial" w:hAnsi="Arial" w:cs="Arial"/>
          <w:b/>
          <w:sz w:val="32"/>
          <w:szCs w:val="32"/>
          <w:lang w:eastAsia="en-AU"/>
        </w:rPr>
        <w:t>State Economic Conditions</w:t>
      </w:r>
    </w:p>
    <w:p w:rsidR="00E82159" w:rsidRDefault="00E82159" w:rsidP="00E82159">
      <w:pPr>
        <w:spacing w:line="240" w:lineRule="auto"/>
        <w:ind w:left="30"/>
        <w:jc w:val="both"/>
        <w:rPr>
          <w:rFonts w:ascii="Arial" w:hAnsi="Arial" w:cs="Arial"/>
          <w:b/>
          <w:sz w:val="32"/>
          <w:szCs w:val="32"/>
          <w:lang w:eastAsia="en-AU"/>
        </w:rPr>
      </w:pPr>
    </w:p>
    <w:p w:rsidR="00E82159" w:rsidRPr="003F1036" w:rsidRDefault="00E82159" w:rsidP="00E82159">
      <w:pPr>
        <w:spacing w:line="240" w:lineRule="auto"/>
        <w:jc w:val="both"/>
        <w:rPr>
          <w:rFonts w:ascii="Arial" w:hAnsi="Arial" w:cs="Arial"/>
          <w:spacing w:val="-2"/>
          <w:lang w:eastAsia="en-AU"/>
        </w:rPr>
      </w:pPr>
      <w:r w:rsidRPr="003F1036">
        <w:rPr>
          <w:rFonts w:ascii="Arial" w:hAnsi="Arial" w:cs="Arial"/>
          <w:spacing w:val="-2"/>
          <w:lang w:eastAsia="en-AU"/>
        </w:rPr>
        <w:t xml:space="preserve">The economic outlook </w:t>
      </w:r>
      <w:r>
        <w:rPr>
          <w:rFonts w:ascii="Arial" w:hAnsi="Arial" w:cs="Arial"/>
          <w:spacing w:val="-2"/>
          <w:lang w:eastAsia="en-AU"/>
        </w:rPr>
        <w:t xml:space="preserve">presented in this attachment is </w:t>
      </w:r>
      <w:r w:rsidRPr="003F1036">
        <w:rPr>
          <w:rFonts w:ascii="Arial" w:hAnsi="Arial" w:cs="Arial"/>
          <w:spacing w:val="-2"/>
          <w:lang w:eastAsia="en-AU"/>
        </w:rPr>
        <w:t xml:space="preserve">based on the 2019-20 Government Mid-Year Financial Projections Statement </w:t>
      </w:r>
      <w:r>
        <w:rPr>
          <w:rFonts w:ascii="Arial" w:hAnsi="Arial" w:cs="Arial"/>
          <w:spacing w:val="-2"/>
          <w:lang w:eastAsia="en-AU"/>
        </w:rPr>
        <w:t xml:space="preserve">(Mid-year Review) </w:t>
      </w:r>
      <w:r w:rsidRPr="003F1036">
        <w:rPr>
          <w:rFonts w:ascii="Arial" w:hAnsi="Arial" w:cs="Arial"/>
          <w:spacing w:val="-2"/>
          <w:lang w:eastAsia="en-AU"/>
        </w:rPr>
        <w:t>published</w:t>
      </w:r>
      <w:r>
        <w:rPr>
          <w:rFonts w:ascii="Arial" w:hAnsi="Arial" w:cs="Arial"/>
          <w:spacing w:val="-2"/>
          <w:lang w:eastAsia="en-AU"/>
        </w:rPr>
        <w:t xml:space="preserve"> on</w:t>
      </w:r>
      <w:r w:rsidRPr="003F1036">
        <w:rPr>
          <w:rFonts w:ascii="Arial" w:hAnsi="Arial" w:cs="Arial"/>
          <w:spacing w:val="-2"/>
          <w:lang w:eastAsia="en-AU"/>
        </w:rPr>
        <w:t xml:space="preserve"> 17</w:t>
      </w:r>
      <w:r>
        <w:rPr>
          <w:rFonts w:ascii="Arial" w:hAnsi="Arial" w:cs="Arial"/>
          <w:spacing w:val="-2"/>
          <w:lang w:eastAsia="en-AU"/>
        </w:rPr>
        <w:t> </w:t>
      </w:r>
      <w:r w:rsidRPr="003F1036">
        <w:rPr>
          <w:rFonts w:ascii="Arial" w:hAnsi="Arial" w:cs="Arial"/>
          <w:spacing w:val="-2"/>
          <w:lang w:eastAsia="en-AU"/>
        </w:rPr>
        <w:t>December</w:t>
      </w:r>
      <w:r>
        <w:rPr>
          <w:rFonts w:ascii="Arial" w:hAnsi="Arial" w:cs="Arial"/>
          <w:spacing w:val="-2"/>
          <w:lang w:eastAsia="en-AU"/>
        </w:rPr>
        <w:t> </w:t>
      </w:r>
      <w:r w:rsidRPr="003F1036">
        <w:rPr>
          <w:rFonts w:ascii="Arial" w:hAnsi="Arial" w:cs="Arial"/>
          <w:spacing w:val="-2"/>
          <w:lang w:eastAsia="en-AU"/>
        </w:rPr>
        <w:t>2019</w:t>
      </w:r>
      <w:r>
        <w:rPr>
          <w:rFonts w:ascii="Arial" w:hAnsi="Arial" w:cs="Arial"/>
          <w:spacing w:val="-2"/>
          <w:lang w:eastAsia="en-AU"/>
        </w:rPr>
        <w:t xml:space="preserve">.  This is was released </w:t>
      </w:r>
      <w:r w:rsidRPr="003F1036">
        <w:rPr>
          <w:rFonts w:ascii="Arial" w:hAnsi="Arial" w:cs="Arial"/>
          <w:spacing w:val="-2"/>
          <w:lang w:eastAsia="en-AU"/>
        </w:rPr>
        <w:t xml:space="preserve"> prior to the outbreak of the </w:t>
      </w:r>
      <w:r>
        <w:rPr>
          <w:rFonts w:ascii="Arial" w:hAnsi="Arial" w:cs="Arial"/>
          <w:spacing w:val="-2"/>
          <w:lang w:eastAsia="en-AU"/>
        </w:rPr>
        <w:t xml:space="preserve">COVID-19 </w:t>
      </w:r>
      <w:r w:rsidRPr="003F1036">
        <w:rPr>
          <w:rFonts w:ascii="Arial" w:hAnsi="Arial" w:cs="Arial"/>
          <w:spacing w:val="-2"/>
          <w:lang w:eastAsia="en-AU"/>
        </w:rPr>
        <w:t>virus</w:t>
      </w:r>
      <w:r>
        <w:rPr>
          <w:rFonts w:ascii="Arial" w:hAnsi="Arial" w:cs="Arial"/>
          <w:spacing w:val="-2"/>
          <w:lang w:eastAsia="en-AU"/>
        </w:rPr>
        <w:t>.</w:t>
      </w:r>
    </w:p>
    <w:p w:rsidR="00E82159" w:rsidRPr="003F1036" w:rsidRDefault="00E82159" w:rsidP="00E82159">
      <w:pPr>
        <w:spacing w:line="240" w:lineRule="auto"/>
        <w:jc w:val="both"/>
        <w:rPr>
          <w:rFonts w:ascii="Arial" w:hAnsi="Arial" w:cs="Arial"/>
          <w:spacing w:val="-2"/>
          <w:lang w:eastAsia="en-AU"/>
        </w:rPr>
      </w:pPr>
    </w:p>
    <w:p w:rsidR="00E82159" w:rsidRDefault="00E82159" w:rsidP="006B3D12">
      <w:pPr>
        <w:spacing w:line="240" w:lineRule="auto"/>
        <w:jc w:val="both"/>
        <w:rPr>
          <w:lang w:eastAsia="en-AU"/>
        </w:rPr>
      </w:pPr>
      <w:r>
        <w:rPr>
          <w:rFonts w:ascii="Arial" w:hAnsi="Arial" w:cs="Arial"/>
          <w:spacing w:val="-2"/>
          <w:lang w:eastAsia="en-AU"/>
        </w:rPr>
        <w:t>T</w:t>
      </w:r>
      <w:r w:rsidRPr="003F1036">
        <w:rPr>
          <w:rFonts w:ascii="Arial" w:hAnsi="Arial" w:cs="Arial"/>
          <w:spacing w:val="-2"/>
          <w:lang w:eastAsia="en-AU"/>
        </w:rPr>
        <w:t>he</w:t>
      </w:r>
      <w:r>
        <w:rPr>
          <w:rFonts w:ascii="Arial" w:hAnsi="Arial" w:cs="Arial"/>
          <w:spacing w:val="-2"/>
          <w:lang w:eastAsia="en-AU"/>
        </w:rPr>
        <w:t xml:space="preserve"> coronavirus out-break, the impact of</w:t>
      </w:r>
      <w:r w:rsidRPr="003F1036">
        <w:rPr>
          <w:rFonts w:ascii="Arial" w:hAnsi="Arial" w:cs="Arial"/>
          <w:spacing w:val="-2"/>
          <w:lang w:eastAsia="en-AU"/>
        </w:rPr>
        <w:t xml:space="preserve"> </w:t>
      </w:r>
      <w:r>
        <w:rPr>
          <w:rFonts w:ascii="Arial" w:hAnsi="Arial" w:cs="Arial"/>
          <w:spacing w:val="-2"/>
          <w:lang w:eastAsia="en-AU"/>
        </w:rPr>
        <w:t>efforts to contain it, and policy responses to address its impact continue to evolve.  These, together with developments in the international oil market and stock markets, have been fast moving and have heightened uncertainty about the economic outlook.  As such, outlook in the 2019</w:t>
      </w:r>
      <w:r>
        <w:rPr>
          <w:rFonts w:ascii="Arial" w:hAnsi="Arial" w:cs="Arial"/>
          <w:spacing w:val="-2"/>
          <w:lang w:eastAsia="en-AU"/>
        </w:rPr>
        <w:noBreakHyphen/>
        <w:t xml:space="preserve">20 Mid-year Review is dated given these developments. The COVID-19 and other developments are being monitored closely and will inform the preparation of the economic outlook contained in </w:t>
      </w:r>
      <w:r w:rsidRPr="003F1036">
        <w:rPr>
          <w:rFonts w:ascii="Arial" w:hAnsi="Arial" w:cs="Arial"/>
          <w:spacing w:val="-2"/>
          <w:lang w:eastAsia="en-AU"/>
        </w:rPr>
        <w:t>the forthcoming 2020-21 Budget.</w:t>
      </w:r>
    </w:p>
    <w:p w:rsidR="00E82159" w:rsidRPr="007F1E50" w:rsidRDefault="00E82159" w:rsidP="00E82159">
      <w:pPr>
        <w:keepNext/>
        <w:spacing w:before="240" w:after="60" w:line="360" w:lineRule="auto"/>
        <w:jc w:val="both"/>
        <w:outlineLvl w:val="0"/>
        <w:rPr>
          <w:rFonts w:ascii="Arial" w:hAnsi="Arial" w:cs="Arial"/>
          <w:b/>
          <w:bCs/>
          <w:kern w:val="32"/>
          <w:sz w:val="32"/>
          <w:szCs w:val="32"/>
          <w:highlight w:val="yellow"/>
          <w:lang w:val="en-GB"/>
        </w:rPr>
      </w:pPr>
      <w:r w:rsidRPr="007F1E50">
        <w:rPr>
          <w:rFonts w:ascii="Arial" w:hAnsi="Arial" w:cs="Arial"/>
          <w:b/>
          <w:bCs/>
          <w:kern w:val="32"/>
          <w:sz w:val="32"/>
          <w:szCs w:val="32"/>
          <w:lang w:val="en-GB"/>
        </w:rPr>
        <w:t>SUMMARY</w:t>
      </w:r>
    </w:p>
    <w:p w:rsidR="00E82159" w:rsidRPr="007F1E50" w:rsidRDefault="00E82159" w:rsidP="00E82159">
      <w:pPr>
        <w:spacing w:line="240" w:lineRule="auto"/>
        <w:jc w:val="both"/>
        <w:rPr>
          <w:rFonts w:ascii="Arial" w:hAnsi="Arial" w:cs="Arial"/>
          <w:spacing w:val="-2"/>
          <w:lang w:eastAsia="en-AU"/>
        </w:rPr>
      </w:pPr>
      <w:r w:rsidRPr="007F1E50">
        <w:rPr>
          <w:rFonts w:ascii="Arial" w:hAnsi="Arial" w:cs="Arial"/>
          <w:spacing w:val="-2"/>
          <w:lang w:eastAsia="en-AU"/>
        </w:rPr>
        <w:t xml:space="preserve">The Western Australian economy (as measured by Gross State Product, GSP) expanded by 1% in 2018-19, with moderate growth in net exports partly offset by a contraction in the domestic economy (as measured by State Final Demand, SFD). </w:t>
      </w:r>
    </w:p>
    <w:p w:rsidR="00E82159" w:rsidRPr="007F1E50" w:rsidRDefault="00E82159" w:rsidP="00E82159">
      <w:pPr>
        <w:spacing w:line="240" w:lineRule="auto"/>
        <w:jc w:val="both"/>
        <w:rPr>
          <w:rFonts w:ascii="Arial" w:hAnsi="Arial" w:cs="Arial"/>
          <w:spacing w:val="-2"/>
          <w:lang w:eastAsia="en-AU"/>
        </w:rPr>
      </w:pPr>
    </w:p>
    <w:p w:rsidR="00E82159" w:rsidRPr="007F1E50" w:rsidRDefault="00E82159" w:rsidP="00E82159">
      <w:pPr>
        <w:spacing w:line="240" w:lineRule="auto"/>
        <w:jc w:val="both"/>
        <w:rPr>
          <w:rFonts w:ascii="Arial" w:hAnsi="Arial" w:cs="Arial"/>
          <w:spacing w:val="-2"/>
          <w:lang w:eastAsia="en-AU"/>
        </w:rPr>
      </w:pPr>
      <w:r>
        <w:rPr>
          <w:rFonts w:ascii="Arial" w:hAnsi="Arial" w:cs="Arial"/>
          <w:spacing w:val="-2"/>
          <w:lang w:eastAsia="en-AU"/>
        </w:rPr>
        <w:t xml:space="preserve">The </w:t>
      </w:r>
      <w:r w:rsidRPr="007F1E50">
        <w:rPr>
          <w:rFonts w:ascii="Arial" w:hAnsi="Arial" w:cs="Arial"/>
          <w:spacing w:val="-2"/>
          <w:lang w:eastAsia="en-AU"/>
        </w:rPr>
        <w:t>2019-20 Mid-year Review</w:t>
      </w:r>
      <w:r>
        <w:rPr>
          <w:rFonts w:ascii="Arial" w:hAnsi="Arial" w:cs="Arial"/>
          <w:spacing w:val="-2"/>
          <w:lang w:eastAsia="en-AU"/>
        </w:rPr>
        <w:t xml:space="preserve"> forecast</w:t>
      </w:r>
      <w:r w:rsidRPr="007F1E50">
        <w:rPr>
          <w:rFonts w:ascii="Arial" w:hAnsi="Arial" w:cs="Arial"/>
          <w:spacing w:val="-2"/>
          <w:lang w:eastAsia="en-AU"/>
        </w:rPr>
        <w:t xml:space="preserve"> GSP growth to strengthen to 3% in 2019</w:t>
      </w:r>
      <w:r w:rsidRPr="007F1E50">
        <w:rPr>
          <w:rFonts w:ascii="Arial" w:hAnsi="Arial" w:cs="Arial"/>
          <w:spacing w:val="-2"/>
          <w:lang w:eastAsia="en-AU"/>
        </w:rPr>
        <w:noBreakHyphen/>
        <w:t xml:space="preserve">20 as business investment resumes growing for the first time in seven years, underpinned by spending on iron ore projects designed to maintain capacity at existing mines. Exports </w:t>
      </w:r>
      <w:r>
        <w:rPr>
          <w:rFonts w:ascii="Arial" w:hAnsi="Arial" w:cs="Arial"/>
          <w:spacing w:val="-2"/>
          <w:lang w:eastAsia="en-AU"/>
        </w:rPr>
        <w:t>were</w:t>
      </w:r>
      <w:r w:rsidRPr="007F1E50">
        <w:rPr>
          <w:rFonts w:ascii="Arial" w:hAnsi="Arial" w:cs="Arial"/>
          <w:spacing w:val="-2"/>
          <w:lang w:eastAsia="en-AU"/>
        </w:rPr>
        <w:t xml:space="preserve"> also anticipated to support GSP growth in 2019-20 as iron ore production lifts following significant and unplanned disruptions in the previous year. </w:t>
      </w:r>
    </w:p>
    <w:p w:rsidR="00E82159" w:rsidRPr="007F1E50" w:rsidRDefault="00E82159" w:rsidP="00E82159">
      <w:pPr>
        <w:spacing w:line="240" w:lineRule="auto"/>
        <w:jc w:val="both"/>
        <w:rPr>
          <w:rFonts w:ascii="Arial" w:hAnsi="Arial" w:cs="Arial"/>
          <w:spacing w:val="-2"/>
          <w:lang w:eastAsia="en-AU"/>
        </w:rPr>
      </w:pPr>
    </w:p>
    <w:p w:rsidR="00E82159" w:rsidRPr="007F1E50" w:rsidRDefault="00E82159" w:rsidP="00E82159">
      <w:pPr>
        <w:spacing w:line="240" w:lineRule="auto"/>
        <w:jc w:val="both"/>
        <w:rPr>
          <w:rFonts w:ascii="Arial" w:hAnsi="Arial" w:cs="Arial"/>
          <w:spacing w:val="-2"/>
          <w:lang w:eastAsia="en-AU"/>
        </w:rPr>
      </w:pPr>
      <w:r>
        <w:rPr>
          <w:rFonts w:ascii="Arial" w:hAnsi="Arial" w:cs="Arial"/>
          <w:spacing w:val="-2"/>
          <w:lang w:eastAsia="en-AU"/>
        </w:rPr>
        <w:t>The Mid-year Review projects p</w:t>
      </w:r>
      <w:r w:rsidRPr="007F1E50">
        <w:rPr>
          <w:rFonts w:ascii="Arial" w:hAnsi="Arial" w:cs="Arial"/>
          <w:spacing w:val="-2"/>
          <w:lang w:eastAsia="en-AU"/>
        </w:rPr>
        <w:t>opulation growth</w:t>
      </w:r>
      <w:r>
        <w:rPr>
          <w:rFonts w:ascii="Arial" w:hAnsi="Arial" w:cs="Arial"/>
          <w:spacing w:val="-2"/>
          <w:lang w:eastAsia="en-AU"/>
        </w:rPr>
        <w:t xml:space="preserve"> </w:t>
      </w:r>
      <w:r w:rsidRPr="007F1E50">
        <w:rPr>
          <w:rFonts w:ascii="Arial" w:hAnsi="Arial" w:cs="Arial"/>
          <w:spacing w:val="-2"/>
          <w:lang w:eastAsia="en-AU"/>
        </w:rPr>
        <w:t>to strengthen from 1.1% in 2018-19 to 1.3% in 2019-20 as migrants are once again attracted to Western Australia (reflecting that the State’s economic performance relative to the rest of the nation is expected to improve).</w:t>
      </w:r>
    </w:p>
    <w:p w:rsidR="00E82159" w:rsidRPr="007F1E50" w:rsidRDefault="00E82159" w:rsidP="00E82159">
      <w:pPr>
        <w:spacing w:line="240" w:lineRule="auto"/>
        <w:jc w:val="both"/>
        <w:rPr>
          <w:rFonts w:ascii="Arial" w:hAnsi="Arial" w:cs="Arial"/>
          <w:spacing w:val="-2"/>
          <w:lang w:eastAsia="en-AU"/>
        </w:rPr>
      </w:pPr>
    </w:p>
    <w:p w:rsidR="00E82159" w:rsidRPr="007F1E50" w:rsidRDefault="00E82159" w:rsidP="00E82159">
      <w:pPr>
        <w:spacing w:line="240" w:lineRule="auto"/>
        <w:jc w:val="both"/>
        <w:rPr>
          <w:rFonts w:ascii="Arial" w:hAnsi="Arial" w:cs="Arial"/>
          <w:spacing w:val="-2"/>
          <w:lang w:eastAsia="en-AU"/>
        </w:rPr>
      </w:pPr>
      <w:r w:rsidRPr="007F1E50">
        <w:rPr>
          <w:rFonts w:ascii="Arial" w:hAnsi="Arial" w:cs="Arial"/>
          <w:spacing w:val="-2"/>
          <w:lang w:eastAsia="en-AU"/>
        </w:rPr>
        <w:t>Despite the forecast pick-up in mining sector activity, the State’s household sector is expected to remain subdued in 2019</w:t>
      </w:r>
      <w:r w:rsidRPr="007F1E50">
        <w:rPr>
          <w:rFonts w:ascii="Arial" w:hAnsi="Arial" w:cs="Arial"/>
          <w:spacing w:val="-2"/>
          <w:lang w:eastAsia="en-AU"/>
        </w:rPr>
        <w:noBreakHyphen/>
        <w:t>20, with a persistent period of weak wages growth, elevated debt levels and house price declines weighing on consumers’ propensity to spend. Relating to this, dwelling investment is expected to contract for a fourth consecutive year in 2019-20.</w:t>
      </w:r>
    </w:p>
    <w:p w:rsidR="00E82159" w:rsidRPr="007F1E50" w:rsidRDefault="00E82159" w:rsidP="00E82159">
      <w:pPr>
        <w:spacing w:line="240" w:lineRule="auto"/>
        <w:jc w:val="both"/>
        <w:rPr>
          <w:rFonts w:ascii="Arial" w:hAnsi="Arial" w:cs="Arial"/>
          <w:spacing w:val="-2"/>
          <w:lang w:eastAsia="en-AU"/>
        </w:rPr>
      </w:pPr>
    </w:p>
    <w:p w:rsidR="00E82159" w:rsidRPr="007F1E50" w:rsidRDefault="00E82159" w:rsidP="00E82159">
      <w:pPr>
        <w:spacing w:line="240" w:lineRule="auto"/>
        <w:jc w:val="both"/>
        <w:rPr>
          <w:rFonts w:ascii="Arial" w:hAnsi="Arial" w:cs="Arial"/>
          <w:spacing w:val="-2"/>
          <w:lang w:eastAsia="en-AU"/>
        </w:rPr>
      </w:pPr>
      <w:r w:rsidRPr="007F1E50">
        <w:rPr>
          <w:rFonts w:ascii="Arial" w:hAnsi="Arial" w:cs="Arial"/>
          <w:spacing w:val="-2"/>
          <w:lang w:eastAsia="en-AU"/>
        </w:rPr>
        <w:t>The State’s labour market performance has been moderate to date in 2019-20, with annual employment growth of around 1</w:t>
      </w:r>
      <w:r>
        <w:rPr>
          <w:rFonts w:ascii="Arial" w:hAnsi="Arial" w:cs="Arial"/>
          <w:spacing w:val="-2"/>
          <w:lang w:eastAsia="en-AU"/>
        </w:rPr>
        <w:t>.3</w:t>
      </w:r>
      <w:r w:rsidRPr="007F1E50">
        <w:rPr>
          <w:rFonts w:ascii="Arial" w:hAnsi="Arial" w:cs="Arial"/>
          <w:spacing w:val="-2"/>
          <w:lang w:eastAsia="en-AU"/>
        </w:rPr>
        <w:t>% (below the 2.1% average)</w:t>
      </w:r>
      <w:r>
        <w:rPr>
          <w:rFonts w:ascii="Arial" w:hAnsi="Arial" w:cs="Arial"/>
          <w:spacing w:val="-2"/>
          <w:lang w:eastAsia="en-AU"/>
        </w:rPr>
        <w:t xml:space="preserve"> in the year to February 2020</w:t>
      </w:r>
      <w:r w:rsidRPr="007F1E50">
        <w:rPr>
          <w:rFonts w:ascii="Arial" w:hAnsi="Arial" w:cs="Arial"/>
          <w:spacing w:val="-2"/>
          <w:lang w:eastAsia="en-AU"/>
        </w:rPr>
        <w:t xml:space="preserve">. While the unemployment rate has eased over recent months, this largely reflects a fall in labour market participation (rather than additional hiring). </w:t>
      </w:r>
    </w:p>
    <w:p w:rsidR="00E82159" w:rsidRPr="007F1E50" w:rsidRDefault="00E82159" w:rsidP="00E82159">
      <w:pPr>
        <w:spacing w:line="240" w:lineRule="auto"/>
        <w:jc w:val="both"/>
        <w:rPr>
          <w:rFonts w:ascii="Arial" w:hAnsi="Arial" w:cs="Arial"/>
          <w:spacing w:val="-2"/>
          <w:lang w:eastAsia="en-AU"/>
        </w:rPr>
      </w:pPr>
    </w:p>
    <w:p w:rsidR="00E82159" w:rsidRPr="007F1E50" w:rsidRDefault="00E82159" w:rsidP="00E82159">
      <w:pPr>
        <w:spacing w:line="240" w:lineRule="auto"/>
        <w:jc w:val="both"/>
        <w:rPr>
          <w:rFonts w:ascii="Arial" w:hAnsi="Arial" w:cs="Arial"/>
          <w:spacing w:val="-2"/>
          <w:lang w:eastAsia="en-AU"/>
        </w:rPr>
      </w:pPr>
      <w:r w:rsidRPr="007F1E50">
        <w:rPr>
          <w:rFonts w:ascii="Arial" w:hAnsi="Arial" w:cs="Arial"/>
          <w:spacing w:val="-2"/>
          <w:lang w:eastAsia="en-AU"/>
        </w:rPr>
        <w:t>Furthermore, a stubbornly high underemployment rate continues to contain wages growth, which grew by just 1.6% in 2019 (around half the historical average rate). Corresponding to this, inflation remained subdued at 1.5% in 2019, although is converging to national rates (as the drag from housing-related components lessens in Western Australia).</w:t>
      </w:r>
    </w:p>
    <w:p w:rsidR="006B3D12" w:rsidRDefault="006B3D12" w:rsidP="00E82159">
      <w:pPr>
        <w:spacing w:line="240" w:lineRule="auto"/>
        <w:jc w:val="both"/>
        <w:rPr>
          <w:rFonts w:ascii="Arial" w:hAnsi="Arial" w:cs="Arial"/>
          <w:spacing w:val="-2"/>
          <w:lang w:eastAsia="en-AU"/>
        </w:rPr>
      </w:pPr>
    </w:p>
    <w:p w:rsidR="00E82159" w:rsidRPr="007F1E50" w:rsidRDefault="00E82159" w:rsidP="00E82159">
      <w:pPr>
        <w:spacing w:line="240" w:lineRule="auto"/>
        <w:jc w:val="both"/>
        <w:rPr>
          <w:rFonts w:ascii="Arial" w:hAnsi="Arial" w:cs="Arial"/>
          <w:spacing w:val="-2"/>
          <w:lang w:eastAsia="en-AU"/>
        </w:rPr>
      </w:pPr>
      <w:r w:rsidRPr="007F1E50">
        <w:rPr>
          <w:rFonts w:ascii="Arial" w:hAnsi="Arial" w:cs="Arial"/>
          <w:spacing w:val="-2"/>
          <w:lang w:eastAsia="en-AU"/>
        </w:rPr>
        <w:t xml:space="preserve">Despite this, </w:t>
      </w:r>
      <w:r>
        <w:rPr>
          <w:rFonts w:ascii="Arial" w:hAnsi="Arial" w:cs="Arial"/>
          <w:spacing w:val="-2"/>
          <w:lang w:eastAsia="en-AU"/>
        </w:rPr>
        <w:t xml:space="preserve">the Mid-year Review forecasts conditions in </w:t>
      </w:r>
      <w:r w:rsidRPr="007F1E50">
        <w:rPr>
          <w:rFonts w:ascii="Arial" w:hAnsi="Arial" w:cs="Arial"/>
          <w:spacing w:val="-2"/>
          <w:lang w:eastAsia="en-AU"/>
        </w:rPr>
        <w:t xml:space="preserve">the State’s labour market, </w:t>
      </w:r>
      <w:r w:rsidR="006B3D12">
        <w:rPr>
          <w:rFonts w:ascii="Arial" w:hAnsi="Arial" w:cs="Arial"/>
          <w:spacing w:val="-2"/>
          <w:lang w:eastAsia="en-AU"/>
        </w:rPr>
        <w:t xml:space="preserve">including </w:t>
      </w:r>
      <w:r w:rsidRPr="007F1E50">
        <w:rPr>
          <w:rFonts w:ascii="Arial" w:hAnsi="Arial" w:cs="Arial"/>
          <w:spacing w:val="-2"/>
          <w:lang w:eastAsia="en-AU"/>
        </w:rPr>
        <w:t>wages and inflation rates</w:t>
      </w:r>
      <w:r w:rsidR="006B3D12">
        <w:rPr>
          <w:rFonts w:ascii="Arial" w:hAnsi="Arial" w:cs="Arial"/>
          <w:spacing w:val="-2"/>
          <w:lang w:eastAsia="en-AU"/>
        </w:rPr>
        <w:t>,</w:t>
      </w:r>
      <w:r w:rsidRPr="007F1E50">
        <w:rPr>
          <w:rFonts w:ascii="Arial" w:hAnsi="Arial" w:cs="Arial"/>
          <w:spacing w:val="-2"/>
          <w:lang w:eastAsia="en-AU"/>
        </w:rPr>
        <w:t xml:space="preserve"> to gradually improve towards long-run averages, in line with an anticipated strengthening in domestic economic activity over the forecast period. </w:t>
      </w:r>
    </w:p>
    <w:p w:rsidR="00E82159" w:rsidRPr="007F1E50" w:rsidRDefault="00E82159" w:rsidP="00E82159">
      <w:pPr>
        <w:spacing w:line="240" w:lineRule="auto"/>
        <w:jc w:val="both"/>
        <w:rPr>
          <w:rFonts w:ascii="Arial" w:hAnsi="Arial" w:cs="Arial"/>
          <w:spacing w:val="-2"/>
          <w:lang w:eastAsia="en-AU"/>
        </w:rPr>
      </w:pPr>
    </w:p>
    <w:p w:rsidR="00E82159" w:rsidRPr="007F1E50" w:rsidRDefault="00E82159" w:rsidP="00E82159">
      <w:pPr>
        <w:spacing w:line="240" w:lineRule="auto"/>
        <w:jc w:val="both"/>
        <w:rPr>
          <w:rFonts w:ascii="Arial" w:hAnsi="Arial" w:cs="Arial"/>
          <w:spacing w:val="-2"/>
          <w:lang w:eastAsia="en-AU"/>
        </w:rPr>
      </w:pPr>
      <w:r w:rsidRPr="009C0C26">
        <w:rPr>
          <w:rFonts w:ascii="Arial" w:hAnsi="Arial" w:cs="Arial"/>
          <w:spacing w:val="-2"/>
          <w:lang w:eastAsia="en-AU"/>
        </w:rPr>
        <w:t>As always, the State’s economic</w:t>
      </w:r>
      <w:r w:rsidRPr="007F1E50">
        <w:rPr>
          <w:rFonts w:ascii="Arial" w:hAnsi="Arial" w:cs="Arial"/>
          <w:spacing w:val="-2"/>
          <w:lang w:eastAsia="en-AU"/>
        </w:rPr>
        <w:t xml:space="preserve"> outlook is subject to a number of potential risks. Conditions in the near term are expected to be uneven across sectors, with household spending and dwelling investment remaining subdued. Furthermore, the emergence of the coronavirus since the 2019-20 Mid-year Review presents a new </w:t>
      </w:r>
      <w:r>
        <w:rPr>
          <w:rFonts w:ascii="Arial" w:hAnsi="Arial" w:cs="Arial"/>
          <w:spacing w:val="-2"/>
          <w:lang w:eastAsia="en-AU"/>
        </w:rPr>
        <w:t xml:space="preserve">and significant </w:t>
      </w:r>
      <w:r w:rsidRPr="007F1E50">
        <w:rPr>
          <w:rFonts w:ascii="Arial" w:hAnsi="Arial" w:cs="Arial"/>
          <w:spacing w:val="-2"/>
          <w:lang w:eastAsia="en-AU"/>
        </w:rPr>
        <w:t xml:space="preserve">risk to the State’s economic outlook.  </w:t>
      </w:r>
    </w:p>
    <w:p w:rsidR="00E82159" w:rsidRPr="007F1E50" w:rsidRDefault="00E82159" w:rsidP="00E82159">
      <w:pPr>
        <w:spacing w:line="240" w:lineRule="auto"/>
        <w:jc w:val="both"/>
        <w:rPr>
          <w:rFonts w:ascii="Arial" w:hAnsi="Arial" w:cs="Arial"/>
          <w:spacing w:val="-2"/>
          <w:lang w:eastAsia="en-AU"/>
        </w:rPr>
      </w:pPr>
    </w:p>
    <w:p w:rsidR="00E82159" w:rsidRPr="007F1E50" w:rsidRDefault="00E82159" w:rsidP="00E82159">
      <w:pPr>
        <w:spacing w:line="240" w:lineRule="auto"/>
        <w:jc w:val="both"/>
        <w:rPr>
          <w:rFonts w:ascii="Arial" w:hAnsi="Arial" w:cs="Arial"/>
          <w:spacing w:val="-2"/>
          <w:lang w:eastAsia="en-AU"/>
        </w:rPr>
      </w:pPr>
      <w:r>
        <w:rPr>
          <w:rFonts w:ascii="Arial" w:hAnsi="Arial" w:cs="Arial"/>
          <w:spacing w:val="-2"/>
          <w:lang w:eastAsia="en-AU"/>
        </w:rPr>
        <w:t>T</w:t>
      </w:r>
      <w:r w:rsidRPr="007F1E50">
        <w:rPr>
          <w:rFonts w:ascii="Arial" w:hAnsi="Arial" w:cs="Arial"/>
          <w:spacing w:val="-2"/>
          <w:lang w:eastAsia="en-AU"/>
        </w:rPr>
        <w:t>he business investment profile is sensitive to changes to the timing and magnitude of expenditure on major iron ore projects and expected final investment decisions for the next wave of oil and gas projects. Any changes to these factors would also likely flow through to export growth and labour market outcomes.</w:t>
      </w:r>
    </w:p>
    <w:p w:rsidR="00E82159" w:rsidRPr="007F1E50" w:rsidRDefault="00E82159" w:rsidP="00E82159">
      <w:pPr>
        <w:spacing w:line="240" w:lineRule="auto"/>
        <w:jc w:val="both"/>
        <w:rPr>
          <w:rFonts w:ascii="Arial" w:hAnsi="Arial" w:cs="Arial"/>
          <w:spacing w:val="-2"/>
          <w:lang w:eastAsia="en-AU"/>
        </w:rPr>
      </w:pPr>
    </w:p>
    <w:p w:rsidR="00E82159" w:rsidRPr="007F1E50" w:rsidRDefault="00E82159" w:rsidP="00E82159">
      <w:pPr>
        <w:spacing w:line="240" w:lineRule="auto"/>
        <w:jc w:val="both"/>
        <w:rPr>
          <w:rFonts w:ascii="Arial" w:hAnsi="Arial" w:cs="Arial"/>
          <w:spacing w:val="-2"/>
          <w:lang w:eastAsia="en-AU"/>
        </w:rPr>
      </w:pPr>
      <w:r w:rsidRPr="007F1E50">
        <w:rPr>
          <w:rFonts w:ascii="Arial" w:hAnsi="Arial" w:cs="Arial"/>
          <w:spacing w:val="-2"/>
          <w:lang w:eastAsia="en-AU"/>
        </w:rPr>
        <w:t>In addition, employment may be weaker than forecast in the near-term if a recent slowdown in full</w:t>
      </w:r>
      <w:r w:rsidRPr="007F1E50">
        <w:rPr>
          <w:rFonts w:ascii="Arial" w:hAnsi="Arial" w:cs="Arial"/>
          <w:spacing w:val="-2"/>
          <w:lang w:eastAsia="en-AU"/>
        </w:rPr>
        <w:noBreakHyphen/>
        <w:t xml:space="preserve">time hiring persists. </w:t>
      </w:r>
    </w:p>
    <w:p w:rsidR="00E82159" w:rsidRPr="007F1E50" w:rsidRDefault="00E82159" w:rsidP="00E82159">
      <w:pPr>
        <w:spacing w:line="240" w:lineRule="auto"/>
        <w:jc w:val="both"/>
        <w:rPr>
          <w:rFonts w:ascii="Arial" w:hAnsi="Arial" w:cs="Arial"/>
          <w:spacing w:val="-2"/>
          <w:lang w:eastAsia="en-AU"/>
        </w:rPr>
      </w:pPr>
    </w:p>
    <w:p w:rsidR="00E82159" w:rsidRPr="007F1E50" w:rsidRDefault="00E82159" w:rsidP="00E82159">
      <w:pPr>
        <w:spacing w:line="240" w:lineRule="auto"/>
        <w:jc w:val="both"/>
        <w:rPr>
          <w:rFonts w:ascii="Arial" w:hAnsi="Arial" w:cs="Arial"/>
          <w:spacing w:val="-2"/>
          <w:lang w:eastAsia="en-AU"/>
        </w:rPr>
      </w:pPr>
      <w:r w:rsidRPr="007F1E50">
        <w:rPr>
          <w:rFonts w:ascii="Arial" w:hAnsi="Arial" w:cs="Arial"/>
          <w:spacing w:val="-2"/>
          <w:lang w:eastAsia="en-AU"/>
        </w:rPr>
        <w:t xml:space="preserve">While recent weakness in household spending has been partly attributed to a tightening in access to credit in 2019, a subsequent easing of these restrictions appears to have had limited impact.  Furthermore, three cuts to the cash rate in the latter half of 2019 and personal income tax </w:t>
      </w:r>
      <w:r w:rsidRPr="009C0C26">
        <w:rPr>
          <w:rFonts w:ascii="Arial" w:hAnsi="Arial" w:cs="Arial"/>
          <w:spacing w:val="-2"/>
          <w:lang w:eastAsia="en-AU"/>
        </w:rPr>
        <w:t>relief has also had minimal noticeable impact, with</w:t>
      </w:r>
      <w:r w:rsidRPr="007F1E50">
        <w:rPr>
          <w:rFonts w:ascii="Arial" w:hAnsi="Arial" w:cs="Arial"/>
          <w:spacing w:val="-2"/>
          <w:lang w:eastAsia="en-AU"/>
        </w:rPr>
        <w:t xml:space="preserve"> evidence mounting of consumers using this additional income to build savings and/or pay down debt. In this regard, the additional cut</w:t>
      </w:r>
      <w:r>
        <w:rPr>
          <w:rFonts w:ascii="Arial" w:hAnsi="Arial" w:cs="Arial"/>
          <w:spacing w:val="-2"/>
          <w:lang w:eastAsia="en-AU"/>
        </w:rPr>
        <w:t>s</w:t>
      </w:r>
      <w:r w:rsidRPr="007F1E50">
        <w:rPr>
          <w:rFonts w:ascii="Arial" w:hAnsi="Arial" w:cs="Arial"/>
          <w:spacing w:val="-2"/>
          <w:lang w:eastAsia="en-AU"/>
        </w:rPr>
        <w:t xml:space="preserve"> to the cash rate on 3 March </w:t>
      </w:r>
      <w:r>
        <w:rPr>
          <w:rFonts w:ascii="Arial" w:hAnsi="Arial" w:cs="Arial"/>
          <w:spacing w:val="-2"/>
          <w:lang w:eastAsia="en-AU"/>
        </w:rPr>
        <w:t xml:space="preserve">and 19 March </w:t>
      </w:r>
      <w:r w:rsidRPr="007F1E50">
        <w:rPr>
          <w:rFonts w:ascii="Arial" w:hAnsi="Arial" w:cs="Arial"/>
          <w:spacing w:val="-2"/>
          <w:lang w:eastAsia="en-AU"/>
        </w:rPr>
        <w:t>2020 (to a record low 0.</w:t>
      </w:r>
      <w:r>
        <w:rPr>
          <w:rFonts w:ascii="Arial" w:hAnsi="Arial" w:cs="Arial"/>
          <w:spacing w:val="-2"/>
          <w:lang w:eastAsia="en-AU"/>
        </w:rPr>
        <w:t>2</w:t>
      </w:r>
      <w:r w:rsidRPr="007F1E50">
        <w:rPr>
          <w:rFonts w:ascii="Arial" w:hAnsi="Arial" w:cs="Arial"/>
          <w:spacing w:val="-2"/>
          <w:lang w:eastAsia="en-AU"/>
        </w:rPr>
        <w:t>5%) may have limited positive impact on spending in the immediate term.</w:t>
      </w:r>
    </w:p>
    <w:p w:rsidR="00E82159" w:rsidRPr="007F1E50" w:rsidRDefault="00E82159" w:rsidP="00E82159">
      <w:pPr>
        <w:spacing w:line="240" w:lineRule="auto"/>
        <w:jc w:val="both"/>
        <w:rPr>
          <w:rFonts w:ascii="Arial" w:hAnsi="Arial" w:cs="Arial"/>
          <w:spacing w:val="-2"/>
          <w:lang w:eastAsia="en-AU"/>
        </w:rPr>
      </w:pPr>
    </w:p>
    <w:p w:rsidR="00E82159" w:rsidRPr="007F1E50" w:rsidRDefault="00E82159" w:rsidP="00E82159">
      <w:pPr>
        <w:spacing w:line="240" w:lineRule="auto"/>
        <w:jc w:val="both"/>
        <w:rPr>
          <w:rFonts w:ascii="Arial" w:hAnsi="Arial" w:cs="Arial"/>
          <w:spacing w:val="-2"/>
          <w:lang w:eastAsia="en-AU"/>
        </w:rPr>
      </w:pPr>
      <w:r w:rsidRPr="007F1E50">
        <w:rPr>
          <w:rFonts w:ascii="Arial" w:hAnsi="Arial" w:cs="Arial"/>
          <w:spacing w:val="-2"/>
          <w:lang w:eastAsia="en-AU"/>
        </w:rPr>
        <w:t>Household spending may be subdued for longer if consumers further delay spending and choose to pay off debt instead, and the expected recovery in the housing market could be hampered by subdued confidence and weaker than expected population and wages growth. Indeed, dwelling investment fell by 6.4% in the December quarter and by 11.3% in 2019, suggesting considerable downside risk to the Mid-year Review forecast decline of 7% in 2019-20.</w:t>
      </w:r>
    </w:p>
    <w:p w:rsidR="00E82159" w:rsidRPr="007F1E50" w:rsidRDefault="00E82159" w:rsidP="00E82159">
      <w:pPr>
        <w:spacing w:line="240" w:lineRule="auto"/>
        <w:jc w:val="both"/>
        <w:rPr>
          <w:rFonts w:ascii="Arial" w:hAnsi="Arial" w:cs="Arial"/>
          <w:spacing w:val="-2"/>
          <w:lang w:eastAsia="en-AU"/>
        </w:rPr>
      </w:pPr>
    </w:p>
    <w:p w:rsidR="00E82159" w:rsidRPr="007F1E50" w:rsidRDefault="00E82159" w:rsidP="00E82159">
      <w:pPr>
        <w:spacing w:line="240" w:lineRule="auto"/>
        <w:jc w:val="both"/>
        <w:rPr>
          <w:rFonts w:ascii="Arial" w:hAnsi="Arial" w:cs="Arial"/>
          <w:spacing w:val="-2"/>
          <w:lang w:eastAsia="en-AU"/>
        </w:rPr>
      </w:pPr>
      <w:r w:rsidRPr="007F1E50">
        <w:rPr>
          <w:rFonts w:ascii="Arial" w:hAnsi="Arial" w:cs="Arial"/>
          <w:spacing w:val="-2"/>
          <w:lang w:eastAsia="en-AU"/>
        </w:rPr>
        <w:t>While a number of global risks have eased since the publication of the 2019-20 Mid</w:t>
      </w:r>
      <w:r w:rsidRPr="007F1E50">
        <w:rPr>
          <w:rFonts w:ascii="Arial" w:hAnsi="Arial" w:cs="Arial"/>
          <w:spacing w:val="-2"/>
          <w:lang w:eastAsia="en-AU"/>
        </w:rPr>
        <w:noBreakHyphen/>
        <w:t xml:space="preserve">year Review forecasts (such as the US/China trade tensions and Brexit), the emergence of the coronavirus poses new </w:t>
      </w:r>
      <w:r>
        <w:rPr>
          <w:rFonts w:ascii="Arial" w:hAnsi="Arial" w:cs="Arial"/>
          <w:spacing w:val="-2"/>
          <w:lang w:eastAsia="en-AU"/>
        </w:rPr>
        <w:t xml:space="preserve">significant </w:t>
      </w:r>
      <w:r w:rsidRPr="007F1E50">
        <w:rPr>
          <w:rFonts w:ascii="Arial" w:hAnsi="Arial" w:cs="Arial"/>
          <w:spacing w:val="-2"/>
          <w:lang w:eastAsia="en-AU"/>
        </w:rPr>
        <w:t xml:space="preserve">downside risks. The most direct impact of the coronavirus </w:t>
      </w:r>
      <w:r>
        <w:rPr>
          <w:rFonts w:ascii="Arial" w:hAnsi="Arial" w:cs="Arial"/>
          <w:spacing w:val="-2"/>
          <w:lang w:eastAsia="en-AU"/>
        </w:rPr>
        <w:t>to date has been</w:t>
      </w:r>
      <w:r w:rsidRPr="007F1E50">
        <w:rPr>
          <w:rFonts w:ascii="Arial" w:hAnsi="Arial" w:cs="Arial"/>
          <w:spacing w:val="-2"/>
          <w:lang w:eastAsia="en-AU"/>
        </w:rPr>
        <w:t xml:space="preserve"> on the State’s tourism and international education sectors (due to the associated travel ban to and from China), along with household and business sentiment.  Over the longer term the impact on Western Australia will depend on whether governments in China and Australia continue with significant containment measures and whether outbreaks of the virus can be contained from spreading in other key trading partners and Australia.</w:t>
      </w:r>
    </w:p>
    <w:p w:rsidR="00E82159" w:rsidRPr="007F1E50" w:rsidRDefault="00E82159" w:rsidP="00E82159">
      <w:pPr>
        <w:spacing w:line="240" w:lineRule="auto"/>
        <w:jc w:val="both"/>
        <w:rPr>
          <w:rFonts w:ascii="Arial" w:hAnsi="Arial" w:cs="Arial"/>
          <w:spacing w:val="-2"/>
          <w:lang w:eastAsia="en-AU"/>
        </w:rPr>
      </w:pPr>
    </w:p>
    <w:p w:rsidR="00E82159" w:rsidRPr="007F1E50" w:rsidRDefault="00E82159" w:rsidP="00E82159">
      <w:pPr>
        <w:spacing w:line="240" w:lineRule="auto"/>
        <w:jc w:val="both"/>
        <w:rPr>
          <w:rFonts w:ascii="Arial" w:hAnsi="Arial" w:cs="Arial"/>
          <w:color w:val="000000"/>
          <w:spacing w:val="-2"/>
          <w:lang w:eastAsia="en-AU"/>
        </w:rPr>
      </w:pPr>
      <w:r w:rsidRPr="007F1E50">
        <w:rPr>
          <w:rFonts w:ascii="Arial" w:hAnsi="Arial" w:cs="Arial"/>
          <w:color w:val="000000"/>
          <w:spacing w:val="-2"/>
          <w:lang w:eastAsia="en-AU"/>
        </w:rPr>
        <w:t xml:space="preserve">Furthermore, another major risk to Western Australia is the possibility of a global build-up of financial vulnerabilities, incentivised by low and negative interest rates around the world. This has led to the under-pricing of risky assets. A significant change in market sentiment that results in a repricing of risks could trigger a liquidity crisis, with the ramifications felt across the heavily integrated global financial sector (including in Western Australia). </w:t>
      </w:r>
    </w:p>
    <w:p w:rsidR="00E82159" w:rsidRDefault="00E82159" w:rsidP="00E82159">
      <w:pPr>
        <w:spacing w:line="240" w:lineRule="auto"/>
        <w:jc w:val="both"/>
        <w:rPr>
          <w:rFonts w:ascii="Arial" w:hAnsi="Arial" w:cs="Arial"/>
          <w:spacing w:val="-2"/>
          <w:lang w:eastAsia="en-AU"/>
        </w:rPr>
      </w:pPr>
    </w:p>
    <w:p w:rsidR="00E82159" w:rsidRDefault="00E82159" w:rsidP="00E82159">
      <w:pPr>
        <w:spacing w:line="240" w:lineRule="auto"/>
        <w:jc w:val="both"/>
        <w:rPr>
          <w:rFonts w:ascii="Arial" w:hAnsi="Arial" w:cs="Arial"/>
          <w:spacing w:val="-2"/>
          <w:lang w:eastAsia="en-AU"/>
        </w:rPr>
      </w:pPr>
      <w:r w:rsidRPr="007F1E50">
        <w:rPr>
          <w:rFonts w:ascii="Arial" w:hAnsi="Arial" w:cs="Arial"/>
          <w:spacing w:val="-2"/>
          <w:lang w:eastAsia="en-AU"/>
        </w:rPr>
        <w:t>Further details on key parts of the State’s economy follow.</w:t>
      </w:r>
    </w:p>
    <w:p w:rsidR="00E82159" w:rsidRPr="007F1E50" w:rsidRDefault="00E82159" w:rsidP="00E82159">
      <w:pPr>
        <w:keepNext/>
        <w:spacing w:before="240" w:after="60" w:line="240" w:lineRule="auto"/>
        <w:jc w:val="both"/>
        <w:outlineLvl w:val="0"/>
        <w:rPr>
          <w:rFonts w:ascii="Arial" w:hAnsi="Arial" w:cs="Arial"/>
          <w:b/>
          <w:bCs/>
          <w:kern w:val="32"/>
          <w:sz w:val="32"/>
          <w:szCs w:val="32"/>
          <w:lang w:val="en-GB"/>
        </w:rPr>
      </w:pPr>
      <w:r w:rsidRPr="007F1E50">
        <w:rPr>
          <w:rFonts w:ascii="Arial" w:hAnsi="Arial" w:cs="Arial"/>
          <w:b/>
          <w:bCs/>
          <w:kern w:val="32"/>
          <w:sz w:val="32"/>
          <w:szCs w:val="32"/>
          <w:lang w:val="en-GB"/>
        </w:rPr>
        <w:lastRenderedPageBreak/>
        <w:t>NATIONAL ACCOUNTS DATA</w:t>
      </w:r>
    </w:p>
    <w:p w:rsidR="00E82159" w:rsidRPr="007F1E50" w:rsidRDefault="00E82159" w:rsidP="00E82159">
      <w:pPr>
        <w:spacing w:line="240" w:lineRule="auto"/>
        <w:jc w:val="both"/>
        <w:rPr>
          <w:rFonts w:ascii="Arial" w:hAnsi="Arial" w:cs="Arial"/>
          <w:spacing w:val="-2"/>
          <w:lang w:eastAsia="en-AU"/>
        </w:rPr>
      </w:pPr>
    </w:p>
    <w:p w:rsidR="00E82159" w:rsidRPr="007F1E50" w:rsidRDefault="00E82159" w:rsidP="00E82159">
      <w:pPr>
        <w:spacing w:line="240" w:lineRule="auto"/>
        <w:jc w:val="both"/>
        <w:rPr>
          <w:rFonts w:ascii="Arial" w:hAnsi="Arial" w:cs="Arial"/>
          <w:spacing w:val="-2"/>
          <w:lang w:eastAsia="en-AU"/>
        </w:rPr>
      </w:pPr>
      <w:r w:rsidRPr="009C0C26">
        <w:rPr>
          <w:rFonts w:ascii="Arial" w:hAnsi="Arial" w:cs="Arial"/>
          <w:spacing w:val="-2"/>
          <w:lang w:eastAsia="en-AU"/>
        </w:rPr>
        <w:t>The latest estimate of GSP (released by the Australian Bureau of Statistics (ABS) in November 2019) shows that Western Australia’s economy grew by 1% in 2018-19. This was buoyed by a 1.6%</w:t>
      </w:r>
      <w:r w:rsidRPr="007F1E50">
        <w:rPr>
          <w:rFonts w:ascii="Arial" w:hAnsi="Arial" w:cs="Arial"/>
          <w:spacing w:val="-2"/>
          <w:lang w:eastAsia="en-AU"/>
        </w:rPr>
        <w:t xml:space="preserve"> increase in export volumes, which more than offset a 0.9% fall in the domestic economy (as construction work on major LNG projects ceased). </w:t>
      </w:r>
    </w:p>
    <w:p w:rsidR="00E82159" w:rsidRPr="007F1E50" w:rsidRDefault="00E82159" w:rsidP="00E82159">
      <w:pPr>
        <w:spacing w:line="240" w:lineRule="auto"/>
        <w:jc w:val="both"/>
        <w:rPr>
          <w:rFonts w:ascii="Arial" w:hAnsi="Arial" w:cs="Arial"/>
          <w:spacing w:val="-2"/>
          <w:lang w:eastAsia="en-AU"/>
        </w:rPr>
      </w:pPr>
    </w:p>
    <w:p w:rsidR="00E82159" w:rsidRPr="007F1E50" w:rsidRDefault="00E82159" w:rsidP="00E82159">
      <w:pPr>
        <w:spacing w:line="240" w:lineRule="auto"/>
        <w:jc w:val="both"/>
        <w:rPr>
          <w:rFonts w:ascii="Arial" w:hAnsi="Arial" w:cs="Arial"/>
          <w:spacing w:val="-2"/>
          <w:lang w:eastAsia="en-AU"/>
        </w:rPr>
      </w:pPr>
      <w:r w:rsidRPr="007F1E50">
        <w:rPr>
          <w:rFonts w:ascii="Arial" w:hAnsi="Arial" w:cs="Arial"/>
          <w:spacing w:val="-2"/>
          <w:lang w:eastAsia="en-AU"/>
        </w:rPr>
        <w:t>On an industry basis, the main contributor to Western Australia’s GSP growth in 2018-19 was predominantly mining, which contributed 2.4 percentage points (pp), the largest contribution to growth since 2013-14. Conversely, the largest detractor was the construction industry, aligning with the finalisation of construction spending on major LNG projects.</w:t>
      </w:r>
    </w:p>
    <w:p w:rsidR="00E82159" w:rsidRPr="007F1E50" w:rsidRDefault="00E82159" w:rsidP="00E82159">
      <w:pPr>
        <w:spacing w:line="240" w:lineRule="auto"/>
        <w:jc w:val="both"/>
        <w:rPr>
          <w:rFonts w:ascii="Arial" w:hAnsi="Arial" w:cs="Arial"/>
          <w:spacing w:val="-2"/>
          <w:lang w:eastAsia="en-AU"/>
        </w:rPr>
      </w:pPr>
    </w:p>
    <w:p w:rsidR="00E82159" w:rsidRPr="007F1E50" w:rsidRDefault="00E82159" w:rsidP="00E82159">
      <w:pPr>
        <w:spacing w:line="240" w:lineRule="auto"/>
        <w:jc w:val="both"/>
        <w:rPr>
          <w:rFonts w:ascii="Arial" w:hAnsi="Arial" w:cs="Arial"/>
          <w:spacing w:val="-2"/>
          <w:lang w:eastAsia="en-AU"/>
        </w:rPr>
      </w:pPr>
      <w:r w:rsidRPr="007F1E50">
        <w:rPr>
          <w:rFonts w:ascii="Arial" w:hAnsi="Arial" w:cs="Arial"/>
          <w:spacing w:val="-2"/>
          <w:lang w:eastAsia="en-AU"/>
        </w:rPr>
        <w:t>GSP growth is projected to pick-up to 3% in 2019-20 before expanding at around 2.75% per annum over the subsequent three years. Following a period of export-driven growth, the domestic economy is expected to resume as the primary driver of activity from 2020</w:t>
      </w:r>
      <w:r w:rsidRPr="007F1E50">
        <w:rPr>
          <w:rFonts w:ascii="Arial" w:hAnsi="Arial" w:cs="Arial"/>
          <w:spacing w:val="-2"/>
          <w:lang w:eastAsia="en-AU"/>
        </w:rPr>
        <w:noBreakHyphen/>
        <w:t xml:space="preserve">21 onwards. This reflects a broad pick-up across household, business and government spending, while export growth eases substantially as resource projects operate at capacity. </w:t>
      </w:r>
    </w:p>
    <w:p w:rsidR="00E82159" w:rsidRPr="007F1E50" w:rsidRDefault="00FC79A1" w:rsidP="00E82159">
      <w:pPr>
        <w:spacing w:line="240" w:lineRule="auto"/>
        <w:jc w:val="both"/>
        <w:rPr>
          <w:rFonts w:ascii="Arial" w:hAnsi="Arial" w:cs="Arial"/>
          <w:spacing w:val="-2"/>
          <w:lang w:eastAsia="en-AU"/>
        </w:rPr>
      </w:pPr>
      <w:r>
        <w:rPr>
          <w:rFonts w:ascii="Arial" w:hAnsi="Arial" w:cs="Arial"/>
          <w:noProof/>
          <w:spacing w:val="-2"/>
          <w:lang w:eastAsia="en-AU"/>
        </w:rPr>
        <mc:AlternateContent>
          <mc:Choice Requires="wpc">
            <w:drawing>
              <wp:anchor distT="0" distB="0" distL="114300" distR="114300" simplePos="0" relativeHeight="251661312" behindDoc="0" locked="0" layoutInCell="1" allowOverlap="1">
                <wp:simplePos x="0" y="0"/>
                <wp:positionH relativeFrom="column">
                  <wp:posOffset>2863494</wp:posOffset>
                </wp:positionH>
                <wp:positionV relativeFrom="paragraph">
                  <wp:posOffset>154991</wp:posOffset>
                </wp:positionV>
                <wp:extent cx="3240405" cy="2718435"/>
                <wp:effectExtent l="0" t="0" r="0" b="5715"/>
                <wp:wrapNone/>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100965" y="0"/>
                            <a:ext cx="3114675" cy="271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245110" y="384175"/>
                            <a:ext cx="2689860" cy="2108200"/>
                          </a:xfrm>
                          <a:prstGeom prst="rect">
                            <a:avLst/>
                          </a:prstGeom>
                          <a:noFill/>
                          <a:ln w="381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7"/>
                        <wps:cNvCnPr>
                          <a:cxnSpLocks noChangeShapeType="1"/>
                        </wps:cNvCnPr>
                        <wps:spPr bwMode="auto">
                          <a:xfrm flipV="1">
                            <a:off x="245110" y="384175"/>
                            <a:ext cx="0" cy="210820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Freeform 8"/>
                        <wps:cNvSpPr>
                          <a:spLocks noEditPoints="1"/>
                        </wps:cNvSpPr>
                        <wps:spPr bwMode="auto">
                          <a:xfrm>
                            <a:off x="213995" y="384175"/>
                            <a:ext cx="31115" cy="2108200"/>
                          </a:xfrm>
                          <a:custGeom>
                            <a:avLst/>
                            <a:gdLst>
                              <a:gd name="T0" fmla="*/ 0 w 49"/>
                              <a:gd name="T1" fmla="*/ 3320 h 3320"/>
                              <a:gd name="T2" fmla="*/ 49 w 49"/>
                              <a:gd name="T3" fmla="*/ 3320 h 3320"/>
                              <a:gd name="T4" fmla="*/ 0 w 49"/>
                              <a:gd name="T5" fmla="*/ 2767 h 3320"/>
                              <a:gd name="T6" fmla="*/ 49 w 49"/>
                              <a:gd name="T7" fmla="*/ 2767 h 3320"/>
                              <a:gd name="T8" fmla="*/ 0 w 49"/>
                              <a:gd name="T9" fmla="*/ 2214 h 3320"/>
                              <a:gd name="T10" fmla="*/ 49 w 49"/>
                              <a:gd name="T11" fmla="*/ 2214 h 3320"/>
                              <a:gd name="T12" fmla="*/ 0 w 49"/>
                              <a:gd name="T13" fmla="*/ 1660 h 3320"/>
                              <a:gd name="T14" fmla="*/ 49 w 49"/>
                              <a:gd name="T15" fmla="*/ 1660 h 3320"/>
                              <a:gd name="T16" fmla="*/ 0 w 49"/>
                              <a:gd name="T17" fmla="*/ 1107 h 3320"/>
                              <a:gd name="T18" fmla="*/ 49 w 49"/>
                              <a:gd name="T19" fmla="*/ 1107 h 3320"/>
                              <a:gd name="T20" fmla="*/ 0 w 49"/>
                              <a:gd name="T21" fmla="*/ 553 h 3320"/>
                              <a:gd name="T22" fmla="*/ 49 w 49"/>
                              <a:gd name="T23" fmla="*/ 553 h 3320"/>
                              <a:gd name="T24" fmla="*/ 0 w 49"/>
                              <a:gd name="T25" fmla="*/ 0 h 3320"/>
                              <a:gd name="T26" fmla="*/ 49 w 49"/>
                              <a:gd name="T27" fmla="*/ 0 h 3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9" h="3320">
                                <a:moveTo>
                                  <a:pt x="0" y="3320"/>
                                </a:moveTo>
                                <a:lnTo>
                                  <a:pt x="49" y="3320"/>
                                </a:lnTo>
                                <a:moveTo>
                                  <a:pt x="0" y="2767"/>
                                </a:moveTo>
                                <a:lnTo>
                                  <a:pt x="49" y="2767"/>
                                </a:lnTo>
                                <a:moveTo>
                                  <a:pt x="0" y="2214"/>
                                </a:moveTo>
                                <a:lnTo>
                                  <a:pt x="49" y="2214"/>
                                </a:lnTo>
                                <a:moveTo>
                                  <a:pt x="0" y="1660"/>
                                </a:moveTo>
                                <a:lnTo>
                                  <a:pt x="49" y="1660"/>
                                </a:lnTo>
                                <a:moveTo>
                                  <a:pt x="0" y="1107"/>
                                </a:moveTo>
                                <a:lnTo>
                                  <a:pt x="49" y="1107"/>
                                </a:lnTo>
                                <a:moveTo>
                                  <a:pt x="0" y="553"/>
                                </a:moveTo>
                                <a:lnTo>
                                  <a:pt x="49" y="553"/>
                                </a:lnTo>
                                <a:moveTo>
                                  <a:pt x="0" y="0"/>
                                </a:moveTo>
                                <a:lnTo>
                                  <a:pt x="49" y="0"/>
                                </a:lnTo>
                              </a:path>
                            </a:pathLst>
                          </a:custGeom>
                          <a:noFill/>
                          <a:ln w="381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9"/>
                        <wps:cNvCnPr>
                          <a:cxnSpLocks noChangeShapeType="1"/>
                        </wps:cNvCnPr>
                        <wps:spPr bwMode="auto">
                          <a:xfrm>
                            <a:off x="245110" y="1790065"/>
                            <a:ext cx="2689860" cy="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Freeform 10"/>
                        <wps:cNvSpPr>
                          <a:spLocks/>
                        </wps:cNvSpPr>
                        <wps:spPr bwMode="auto">
                          <a:xfrm>
                            <a:off x="248920" y="666115"/>
                            <a:ext cx="2678430" cy="1725930"/>
                          </a:xfrm>
                          <a:custGeom>
                            <a:avLst/>
                            <a:gdLst>
                              <a:gd name="T0" fmla="*/ 55 w 4218"/>
                              <a:gd name="T1" fmla="*/ 1727 h 2718"/>
                              <a:gd name="T2" fmla="*/ 158 w 4218"/>
                              <a:gd name="T3" fmla="*/ 1569 h 2718"/>
                              <a:gd name="T4" fmla="*/ 267 w 4218"/>
                              <a:gd name="T5" fmla="*/ 1697 h 2718"/>
                              <a:gd name="T6" fmla="*/ 371 w 4218"/>
                              <a:gd name="T7" fmla="*/ 1672 h 2718"/>
                              <a:gd name="T8" fmla="*/ 474 w 4218"/>
                              <a:gd name="T9" fmla="*/ 1453 h 2718"/>
                              <a:gd name="T10" fmla="*/ 583 w 4218"/>
                              <a:gd name="T11" fmla="*/ 1265 h 2718"/>
                              <a:gd name="T12" fmla="*/ 687 w 4218"/>
                              <a:gd name="T13" fmla="*/ 1076 h 2718"/>
                              <a:gd name="T14" fmla="*/ 790 w 4218"/>
                              <a:gd name="T15" fmla="*/ 876 h 2718"/>
                              <a:gd name="T16" fmla="*/ 900 w 4218"/>
                              <a:gd name="T17" fmla="*/ 827 h 2718"/>
                              <a:gd name="T18" fmla="*/ 1003 w 4218"/>
                              <a:gd name="T19" fmla="*/ 936 h 2718"/>
                              <a:gd name="T20" fmla="*/ 1112 w 4218"/>
                              <a:gd name="T21" fmla="*/ 1058 h 2718"/>
                              <a:gd name="T22" fmla="*/ 1216 w 4218"/>
                              <a:gd name="T23" fmla="*/ 979 h 2718"/>
                              <a:gd name="T24" fmla="*/ 1319 w 4218"/>
                              <a:gd name="T25" fmla="*/ 687 h 2718"/>
                              <a:gd name="T26" fmla="*/ 1428 w 4218"/>
                              <a:gd name="T27" fmla="*/ 462 h 2718"/>
                              <a:gd name="T28" fmla="*/ 1532 w 4218"/>
                              <a:gd name="T29" fmla="*/ 505 h 2718"/>
                              <a:gd name="T30" fmla="*/ 1635 w 4218"/>
                              <a:gd name="T31" fmla="*/ 590 h 2718"/>
                              <a:gd name="T32" fmla="*/ 1744 w 4218"/>
                              <a:gd name="T33" fmla="*/ 790 h 2718"/>
                              <a:gd name="T34" fmla="*/ 1848 w 4218"/>
                              <a:gd name="T35" fmla="*/ 1088 h 2718"/>
                              <a:gd name="T36" fmla="*/ 1951 w 4218"/>
                              <a:gd name="T37" fmla="*/ 1277 h 2718"/>
                              <a:gd name="T38" fmla="*/ 2060 w 4218"/>
                              <a:gd name="T39" fmla="*/ 1453 h 2718"/>
                              <a:gd name="T40" fmla="*/ 2164 w 4218"/>
                              <a:gd name="T41" fmla="*/ 1526 h 2718"/>
                              <a:gd name="T42" fmla="*/ 2267 w 4218"/>
                              <a:gd name="T43" fmla="*/ 1465 h 2718"/>
                              <a:gd name="T44" fmla="*/ 2377 w 4218"/>
                              <a:gd name="T45" fmla="*/ 1180 h 2718"/>
                              <a:gd name="T46" fmla="*/ 2480 w 4218"/>
                              <a:gd name="T47" fmla="*/ 572 h 2718"/>
                              <a:gd name="T48" fmla="*/ 2583 w 4218"/>
                              <a:gd name="T49" fmla="*/ 231 h 2718"/>
                              <a:gd name="T50" fmla="*/ 2693 w 4218"/>
                              <a:gd name="T51" fmla="*/ 243 h 2718"/>
                              <a:gd name="T52" fmla="*/ 2796 w 4218"/>
                              <a:gd name="T53" fmla="*/ 717 h 2718"/>
                              <a:gd name="T54" fmla="*/ 2899 w 4218"/>
                              <a:gd name="T55" fmla="*/ 1611 h 2718"/>
                              <a:gd name="T56" fmla="*/ 3009 w 4218"/>
                              <a:gd name="T57" fmla="*/ 1922 h 2718"/>
                              <a:gd name="T58" fmla="*/ 3112 w 4218"/>
                              <a:gd name="T59" fmla="*/ 1964 h 2718"/>
                              <a:gd name="T60" fmla="*/ 3215 w 4218"/>
                              <a:gd name="T61" fmla="*/ 2092 h 2718"/>
                              <a:gd name="T62" fmla="*/ 3325 w 4218"/>
                              <a:gd name="T63" fmla="*/ 1940 h 2718"/>
                              <a:gd name="T64" fmla="*/ 3428 w 4218"/>
                              <a:gd name="T65" fmla="*/ 2049 h 2718"/>
                              <a:gd name="T66" fmla="*/ 3531 w 4218"/>
                              <a:gd name="T67" fmla="*/ 2584 h 2718"/>
                              <a:gd name="T68" fmla="*/ 3641 w 4218"/>
                              <a:gd name="T69" fmla="*/ 2718 h 2718"/>
                              <a:gd name="T70" fmla="*/ 3744 w 4218"/>
                              <a:gd name="T71" fmla="*/ 2232 h 2718"/>
                              <a:gd name="T72" fmla="*/ 3847 w 4218"/>
                              <a:gd name="T73" fmla="*/ 1800 h 2718"/>
                              <a:gd name="T74" fmla="*/ 3957 w 4218"/>
                              <a:gd name="T75" fmla="*/ 1757 h 2718"/>
                              <a:gd name="T76" fmla="*/ 4060 w 4218"/>
                              <a:gd name="T77" fmla="*/ 1885 h 2718"/>
                              <a:gd name="T78" fmla="*/ 4163 w 4218"/>
                              <a:gd name="T79" fmla="*/ 1818 h 2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218" h="2718">
                                <a:moveTo>
                                  <a:pt x="0" y="1788"/>
                                </a:moveTo>
                                <a:lnTo>
                                  <a:pt x="55" y="1727"/>
                                </a:lnTo>
                                <a:lnTo>
                                  <a:pt x="109" y="1538"/>
                                </a:lnTo>
                                <a:lnTo>
                                  <a:pt x="158" y="1569"/>
                                </a:lnTo>
                                <a:lnTo>
                                  <a:pt x="213" y="1727"/>
                                </a:lnTo>
                                <a:lnTo>
                                  <a:pt x="267" y="1697"/>
                                </a:lnTo>
                                <a:lnTo>
                                  <a:pt x="316" y="1824"/>
                                </a:lnTo>
                                <a:lnTo>
                                  <a:pt x="371" y="1672"/>
                                </a:lnTo>
                                <a:lnTo>
                                  <a:pt x="425" y="1411"/>
                                </a:lnTo>
                                <a:lnTo>
                                  <a:pt x="474" y="1453"/>
                                </a:lnTo>
                                <a:lnTo>
                                  <a:pt x="529" y="1271"/>
                                </a:lnTo>
                                <a:lnTo>
                                  <a:pt x="583" y="1265"/>
                                </a:lnTo>
                                <a:lnTo>
                                  <a:pt x="632" y="1277"/>
                                </a:lnTo>
                                <a:lnTo>
                                  <a:pt x="687" y="1076"/>
                                </a:lnTo>
                                <a:lnTo>
                                  <a:pt x="742" y="1034"/>
                                </a:lnTo>
                                <a:lnTo>
                                  <a:pt x="790" y="876"/>
                                </a:lnTo>
                                <a:lnTo>
                                  <a:pt x="845" y="833"/>
                                </a:lnTo>
                                <a:lnTo>
                                  <a:pt x="900" y="827"/>
                                </a:lnTo>
                                <a:lnTo>
                                  <a:pt x="954" y="815"/>
                                </a:lnTo>
                                <a:lnTo>
                                  <a:pt x="1003" y="936"/>
                                </a:lnTo>
                                <a:lnTo>
                                  <a:pt x="1058" y="1015"/>
                                </a:lnTo>
                                <a:lnTo>
                                  <a:pt x="1112" y="1058"/>
                                </a:lnTo>
                                <a:lnTo>
                                  <a:pt x="1161" y="1082"/>
                                </a:lnTo>
                                <a:lnTo>
                                  <a:pt x="1216" y="979"/>
                                </a:lnTo>
                                <a:lnTo>
                                  <a:pt x="1270" y="778"/>
                                </a:lnTo>
                                <a:lnTo>
                                  <a:pt x="1319" y="687"/>
                                </a:lnTo>
                                <a:lnTo>
                                  <a:pt x="1374" y="444"/>
                                </a:lnTo>
                                <a:lnTo>
                                  <a:pt x="1428" y="462"/>
                                </a:lnTo>
                                <a:lnTo>
                                  <a:pt x="1477" y="565"/>
                                </a:lnTo>
                                <a:lnTo>
                                  <a:pt x="1532" y="505"/>
                                </a:lnTo>
                                <a:lnTo>
                                  <a:pt x="1586" y="687"/>
                                </a:lnTo>
                                <a:lnTo>
                                  <a:pt x="1635" y="590"/>
                                </a:lnTo>
                                <a:lnTo>
                                  <a:pt x="1690" y="614"/>
                                </a:lnTo>
                                <a:lnTo>
                                  <a:pt x="1744" y="790"/>
                                </a:lnTo>
                                <a:lnTo>
                                  <a:pt x="1793" y="870"/>
                                </a:lnTo>
                                <a:lnTo>
                                  <a:pt x="1848" y="1088"/>
                                </a:lnTo>
                                <a:lnTo>
                                  <a:pt x="1902" y="1149"/>
                                </a:lnTo>
                                <a:lnTo>
                                  <a:pt x="1951" y="1277"/>
                                </a:lnTo>
                                <a:lnTo>
                                  <a:pt x="2006" y="1356"/>
                                </a:lnTo>
                                <a:lnTo>
                                  <a:pt x="2060" y="1453"/>
                                </a:lnTo>
                                <a:lnTo>
                                  <a:pt x="2109" y="1569"/>
                                </a:lnTo>
                                <a:lnTo>
                                  <a:pt x="2164" y="1526"/>
                                </a:lnTo>
                                <a:lnTo>
                                  <a:pt x="2218" y="1551"/>
                                </a:lnTo>
                                <a:lnTo>
                                  <a:pt x="2267" y="1465"/>
                                </a:lnTo>
                                <a:lnTo>
                                  <a:pt x="2322" y="1368"/>
                                </a:lnTo>
                                <a:lnTo>
                                  <a:pt x="2377" y="1180"/>
                                </a:lnTo>
                                <a:lnTo>
                                  <a:pt x="2425" y="967"/>
                                </a:lnTo>
                                <a:lnTo>
                                  <a:pt x="2480" y="572"/>
                                </a:lnTo>
                                <a:lnTo>
                                  <a:pt x="2535" y="395"/>
                                </a:lnTo>
                                <a:lnTo>
                                  <a:pt x="2583" y="231"/>
                                </a:lnTo>
                                <a:lnTo>
                                  <a:pt x="2638" y="0"/>
                                </a:lnTo>
                                <a:lnTo>
                                  <a:pt x="2693" y="243"/>
                                </a:lnTo>
                                <a:lnTo>
                                  <a:pt x="2741" y="225"/>
                                </a:lnTo>
                                <a:lnTo>
                                  <a:pt x="2796" y="717"/>
                                </a:lnTo>
                                <a:lnTo>
                                  <a:pt x="2851" y="1277"/>
                                </a:lnTo>
                                <a:lnTo>
                                  <a:pt x="2899" y="1611"/>
                                </a:lnTo>
                                <a:lnTo>
                                  <a:pt x="2954" y="2001"/>
                                </a:lnTo>
                                <a:lnTo>
                                  <a:pt x="3009" y="1922"/>
                                </a:lnTo>
                                <a:lnTo>
                                  <a:pt x="3057" y="1915"/>
                                </a:lnTo>
                                <a:lnTo>
                                  <a:pt x="3112" y="1964"/>
                                </a:lnTo>
                                <a:lnTo>
                                  <a:pt x="3167" y="1934"/>
                                </a:lnTo>
                                <a:lnTo>
                                  <a:pt x="3215" y="2092"/>
                                </a:lnTo>
                                <a:lnTo>
                                  <a:pt x="3270" y="2031"/>
                                </a:lnTo>
                                <a:lnTo>
                                  <a:pt x="3325" y="1940"/>
                                </a:lnTo>
                                <a:lnTo>
                                  <a:pt x="3373" y="2025"/>
                                </a:lnTo>
                                <a:lnTo>
                                  <a:pt x="3428" y="2049"/>
                                </a:lnTo>
                                <a:lnTo>
                                  <a:pt x="3483" y="2299"/>
                                </a:lnTo>
                                <a:lnTo>
                                  <a:pt x="3531" y="2584"/>
                                </a:lnTo>
                                <a:lnTo>
                                  <a:pt x="3586" y="2657"/>
                                </a:lnTo>
                                <a:lnTo>
                                  <a:pt x="3641" y="2718"/>
                                </a:lnTo>
                                <a:lnTo>
                                  <a:pt x="3689" y="2572"/>
                                </a:lnTo>
                                <a:lnTo>
                                  <a:pt x="3744" y="2232"/>
                                </a:lnTo>
                                <a:lnTo>
                                  <a:pt x="3799" y="2001"/>
                                </a:lnTo>
                                <a:lnTo>
                                  <a:pt x="3847" y="1800"/>
                                </a:lnTo>
                                <a:lnTo>
                                  <a:pt x="3902" y="1703"/>
                                </a:lnTo>
                                <a:lnTo>
                                  <a:pt x="3957" y="1757"/>
                                </a:lnTo>
                                <a:lnTo>
                                  <a:pt x="4005" y="1830"/>
                                </a:lnTo>
                                <a:lnTo>
                                  <a:pt x="4060" y="1885"/>
                                </a:lnTo>
                                <a:lnTo>
                                  <a:pt x="4115" y="1867"/>
                                </a:lnTo>
                                <a:lnTo>
                                  <a:pt x="4163" y="1818"/>
                                </a:lnTo>
                                <a:lnTo>
                                  <a:pt x="4218" y="1721"/>
                                </a:lnTo>
                              </a:path>
                            </a:pathLst>
                          </a:custGeom>
                          <a:noFill/>
                          <a:ln w="11430" cap="rnd">
                            <a:solidFill>
                              <a:srgbClr val="0020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1"/>
                        <wps:cNvSpPr>
                          <a:spLocks/>
                        </wps:cNvSpPr>
                        <wps:spPr bwMode="auto">
                          <a:xfrm>
                            <a:off x="248920" y="1322705"/>
                            <a:ext cx="2678430" cy="486410"/>
                          </a:xfrm>
                          <a:custGeom>
                            <a:avLst/>
                            <a:gdLst>
                              <a:gd name="T0" fmla="*/ 55 w 4218"/>
                              <a:gd name="T1" fmla="*/ 176 h 766"/>
                              <a:gd name="T2" fmla="*/ 158 w 4218"/>
                              <a:gd name="T3" fmla="*/ 249 h 766"/>
                              <a:gd name="T4" fmla="*/ 267 w 4218"/>
                              <a:gd name="T5" fmla="*/ 559 h 766"/>
                              <a:gd name="T6" fmla="*/ 371 w 4218"/>
                              <a:gd name="T7" fmla="*/ 766 h 766"/>
                              <a:gd name="T8" fmla="*/ 474 w 4218"/>
                              <a:gd name="T9" fmla="*/ 450 h 766"/>
                              <a:gd name="T10" fmla="*/ 583 w 4218"/>
                              <a:gd name="T11" fmla="*/ 85 h 766"/>
                              <a:gd name="T12" fmla="*/ 687 w 4218"/>
                              <a:gd name="T13" fmla="*/ 0 h 766"/>
                              <a:gd name="T14" fmla="*/ 790 w 4218"/>
                              <a:gd name="T15" fmla="*/ 140 h 766"/>
                              <a:gd name="T16" fmla="*/ 900 w 4218"/>
                              <a:gd name="T17" fmla="*/ 176 h 766"/>
                              <a:gd name="T18" fmla="*/ 1003 w 4218"/>
                              <a:gd name="T19" fmla="*/ 48 h 766"/>
                              <a:gd name="T20" fmla="*/ 1112 w 4218"/>
                              <a:gd name="T21" fmla="*/ 164 h 766"/>
                              <a:gd name="T22" fmla="*/ 1216 w 4218"/>
                              <a:gd name="T23" fmla="*/ 237 h 766"/>
                              <a:gd name="T24" fmla="*/ 1319 w 4218"/>
                              <a:gd name="T25" fmla="*/ 188 h 766"/>
                              <a:gd name="T26" fmla="*/ 1428 w 4218"/>
                              <a:gd name="T27" fmla="*/ 261 h 766"/>
                              <a:gd name="T28" fmla="*/ 1532 w 4218"/>
                              <a:gd name="T29" fmla="*/ 267 h 766"/>
                              <a:gd name="T30" fmla="*/ 1635 w 4218"/>
                              <a:gd name="T31" fmla="*/ 146 h 766"/>
                              <a:gd name="T32" fmla="*/ 1744 w 4218"/>
                              <a:gd name="T33" fmla="*/ 73 h 766"/>
                              <a:gd name="T34" fmla="*/ 1848 w 4218"/>
                              <a:gd name="T35" fmla="*/ 182 h 766"/>
                              <a:gd name="T36" fmla="*/ 1951 w 4218"/>
                              <a:gd name="T37" fmla="*/ 462 h 766"/>
                              <a:gd name="T38" fmla="*/ 2060 w 4218"/>
                              <a:gd name="T39" fmla="*/ 669 h 766"/>
                              <a:gd name="T40" fmla="*/ 2164 w 4218"/>
                              <a:gd name="T41" fmla="*/ 547 h 766"/>
                              <a:gd name="T42" fmla="*/ 2267 w 4218"/>
                              <a:gd name="T43" fmla="*/ 346 h 766"/>
                              <a:gd name="T44" fmla="*/ 2377 w 4218"/>
                              <a:gd name="T45" fmla="*/ 322 h 766"/>
                              <a:gd name="T46" fmla="*/ 2480 w 4218"/>
                              <a:gd name="T47" fmla="*/ 267 h 766"/>
                              <a:gd name="T48" fmla="*/ 2583 w 4218"/>
                              <a:gd name="T49" fmla="*/ 188 h 766"/>
                              <a:gd name="T50" fmla="*/ 2693 w 4218"/>
                              <a:gd name="T51" fmla="*/ 213 h 766"/>
                              <a:gd name="T52" fmla="*/ 2796 w 4218"/>
                              <a:gd name="T53" fmla="*/ 371 h 766"/>
                              <a:gd name="T54" fmla="*/ 2899 w 4218"/>
                              <a:gd name="T55" fmla="*/ 596 h 766"/>
                              <a:gd name="T56" fmla="*/ 3009 w 4218"/>
                              <a:gd name="T57" fmla="*/ 656 h 766"/>
                              <a:gd name="T58" fmla="*/ 3112 w 4218"/>
                              <a:gd name="T59" fmla="*/ 626 h 766"/>
                              <a:gd name="T60" fmla="*/ 3215 w 4218"/>
                              <a:gd name="T61" fmla="*/ 650 h 766"/>
                              <a:gd name="T62" fmla="*/ 3325 w 4218"/>
                              <a:gd name="T63" fmla="*/ 638 h 766"/>
                              <a:gd name="T64" fmla="*/ 3428 w 4218"/>
                              <a:gd name="T65" fmla="*/ 602 h 766"/>
                              <a:gd name="T66" fmla="*/ 3531 w 4218"/>
                              <a:gd name="T67" fmla="*/ 571 h 766"/>
                              <a:gd name="T68" fmla="*/ 3641 w 4218"/>
                              <a:gd name="T69" fmla="*/ 517 h 766"/>
                              <a:gd name="T70" fmla="*/ 3744 w 4218"/>
                              <a:gd name="T71" fmla="*/ 431 h 766"/>
                              <a:gd name="T72" fmla="*/ 3847 w 4218"/>
                              <a:gd name="T73" fmla="*/ 365 h 766"/>
                              <a:gd name="T74" fmla="*/ 3957 w 4218"/>
                              <a:gd name="T75" fmla="*/ 371 h 766"/>
                              <a:gd name="T76" fmla="*/ 4060 w 4218"/>
                              <a:gd name="T77" fmla="*/ 486 h 766"/>
                              <a:gd name="T78" fmla="*/ 4163 w 4218"/>
                              <a:gd name="T79" fmla="*/ 583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218" h="766">
                                <a:moveTo>
                                  <a:pt x="0" y="170"/>
                                </a:moveTo>
                                <a:lnTo>
                                  <a:pt x="55" y="176"/>
                                </a:lnTo>
                                <a:lnTo>
                                  <a:pt x="109" y="182"/>
                                </a:lnTo>
                                <a:lnTo>
                                  <a:pt x="158" y="249"/>
                                </a:lnTo>
                                <a:lnTo>
                                  <a:pt x="213" y="401"/>
                                </a:lnTo>
                                <a:lnTo>
                                  <a:pt x="267" y="559"/>
                                </a:lnTo>
                                <a:lnTo>
                                  <a:pt x="316" y="729"/>
                                </a:lnTo>
                                <a:lnTo>
                                  <a:pt x="371" y="766"/>
                                </a:lnTo>
                                <a:lnTo>
                                  <a:pt x="425" y="608"/>
                                </a:lnTo>
                                <a:lnTo>
                                  <a:pt x="474" y="450"/>
                                </a:lnTo>
                                <a:lnTo>
                                  <a:pt x="529" y="237"/>
                                </a:lnTo>
                                <a:lnTo>
                                  <a:pt x="583" y="85"/>
                                </a:lnTo>
                                <a:lnTo>
                                  <a:pt x="632" y="30"/>
                                </a:lnTo>
                                <a:lnTo>
                                  <a:pt x="687" y="0"/>
                                </a:lnTo>
                                <a:lnTo>
                                  <a:pt x="742" y="79"/>
                                </a:lnTo>
                                <a:lnTo>
                                  <a:pt x="790" y="140"/>
                                </a:lnTo>
                                <a:lnTo>
                                  <a:pt x="845" y="170"/>
                                </a:lnTo>
                                <a:lnTo>
                                  <a:pt x="900" y="176"/>
                                </a:lnTo>
                                <a:lnTo>
                                  <a:pt x="954" y="85"/>
                                </a:lnTo>
                                <a:lnTo>
                                  <a:pt x="1003" y="48"/>
                                </a:lnTo>
                                <a:lnTo>
                                  <a:pt x="1058" y="73"/>
                                </a:lnTo>
                                <a:lnTo>
                                  <a:pt x="1112" y="164"/>
                                </a:lnTo>
                                <a:lnTo>
                                  <a:pt x="1161" y="213"/>
                                </a:lnTo>
                                <a:lnTo>
                                  <a:pt x="1216" y="237"/>
                                </a:lnTo>
                                <a:lnTo>
                                  <a:pt x="1270" y="243"/>
                                </a:lnTo>
                                <a:lnTo>
                                  <a:pt x="1319" y="188"/>
                                </a:lnTo>
                                <a:lnTo>
                                  <a:pt x="1374" y="231"/>
                                </a:lnTo>
                                <a:lnTo>
                                  <a:pt x="1428" y="261"/>
                                </a:lnTo>
                                <a:lnTo>
                                  <a:pt x="1477" y="279"/>
                                </a:lnTo>
                                <a:lnTo>
                                  <a:pt x="1532" y="267"/>
                                </a:lnTo>
                                <a:lnTo>
                                  <a:pt x="1586" y="206"/>
                                </a:lnTo>
                                <a:lnTo>
                                  <a:pt x="1635" y="146"/>
                                </a:lnTo>
                                <a:lnTo>
                                  <a:pt x="1690" y="67"/>
                                </a:lnTo>
                                <a:lnTo>
                                  <a:pt x="1744" y="73"/>
                                </a:lnTo>
                                <a:lnTo>
                                  <a:pt x="1793" y="115"/>
                                </a:lnTo>
                                <a:lnTo>
                                  <a:pt x="1848" y="182"/>
                                </a:lnTo>
                                <a:lnTo>
                                  <a:pt x="1902" y="316"/>
                                </a:lnTo>
                                <a:lnTo>
                                  <a:pt x="1951" y="462"/>
                                </a:lnTo>
                                <a:lnTo>
                                  <a:pt x="2006" y="577"/>
                                </a:lnTo>
                                <a:lnTo>
                                  <a:pt x="2060" y="669"/>
                                </a:lnTo>
                                <a:lnTo>
                                  <a:pt x="2109" y="644"/>
                                </a:lnTo>
                                <a:lnTo>
                                  <a:pt x="2164" y="547"/>
                                </a:lnTo>
                                <a:lnTo>
                                  <a:pt x="2218" y="450"/>
                                </a:lnTo>
                                <a:lnTo>
                                  <a:pt x="2267" y="346"/>
                                </a:lnTo>
                                <a:lnTo>
                                  <a:pt x="2322" y="340"/>
                                </a:lnTo>
                                <a:lnTo>
                                  <a:pt x="2377" y="322"/>
                                </a:lnTo>
                                <a:lnTo>
                                  <a:pt x="2425" y="316"/>
                                </a:lnTo>
                                <a:lnTo>
                                  <a:pt x="2480" y="267"/>
                                </a:lnTo>
                                <a:lnTo>
                                  <a:pt x="2535" y="206"/>
                                </a:lnTo>
                                <a:lnTo>
                                  <a:pt x="2583" y="188"/>
                                </a:lnTo>
                                <a:lnTo>
                                  <a:pt x="2638" y="140"/>
                                </a:lnTo>
                                <a:lnTo>
                                  <a:pt x="2693" y="213"/>
                                </a:lnTo>
                                <a:lnTo>
                                  <a:pt x="2741" y="273"/>
                                </a:lnTo>
                                <a:lnTo>
                                  <a:pt x="2796" y="371"/>
                                </a:lnTo>
                                <a:lnTo>
                                  <a:pt x="2851" y="535"/>
                                </a:lnTo>
                                <a:lnTo>
                                  <a:pt x="2899" y="596"/>
                                </a:lnTo>
                                <a:lnTo>
                                  <a:pt x="2954" y="650"/>
                                </a:lnTo>
                                <a:lnTo>
                                  <a:pt x="3009" y="656"/>
                                </a:lnTo>
                                <a:lnTo>
                                  <a:pt x="3057" y="614"/>
                                </a:lnTo>
                                <a:lnTo>
                                  <a:pt x="3112" y="626"/>
                                </a:lnTo>
                                <a:lnTo>
                                  <a:pt x="3167" y="638"/>
                                </a:lnTo>
                                <a:lnTo>
                                  <a:pt x="3215" y="650"/>
                                </a:lnTo>
                                <a:lnTo>
                                  <a:pt x="3270" y="656"/>
                                </a:lnTo>
                                <a:lnTo>
                                  <a:pt x="3325" y="638"/>
                                </a:lnTo>
                                <a:lnTo>
                                  <a:pt x="3373" y="620"/>
                                </a:lnTo>
                                <a:lnTo>
                                  <a:pt x="3428" y="602"/>
                                </a:lnTo>
                                <a:lnTo>
                                  <a:pt x="3483" y="583"/>
                                </a:lnTo>
                                <a:lnTo>
                                  <a:pt x="3531" y="571"/>
                                </a:lnTo>
                                <a:lnTo>
                                  <a:pt x="3586" y="535"/>
                                </a:lnTo>
                                <a:lnTo>
                                  <a:pt x="3641" y="517"/>
                                </a:lnTo>
                                <a:lnTo>
                                  <a:pt x="3689" y="492"/>
                                </a:lnTo>
                                <a:lnTo>
                                  <a:pt x="3744" y="431"/>
                                </a:lnTo>
                                <a:lnTo>
                                  <a:pt x="3799" y="407"/>
                                </a:lnTo>
                                <a:lnTo>
                                  <a:pt x="3847" y="365"/>
                                </a:lnTo>
                                <a:lnTo>
                                  <a:pt x="3902" y="346"/>
                                </a:lnTo>
                                <a:lnTo>
                                  <a:pt x="3957" y="371"/>
                                </a:lnTo>
                                <a:lnTo>
                                  <a:pt x="4005" y="419"/>
                                </a:lnTo>
                                <a:lnTo>
                                  <a:pt x="4060" y="486"/>
                                </a:lnTo>
                                <a:lnTo>
                                  <a:pt x="4115" y="547"/>
                                </a:lnTo>
                                <a:lnTo>
                                  <a:pt x="4163" y="583"/>
                                </a:lnTo>
                                <a:lnTo>
                                  <a:pt x="4218" y="602"/>
                                </a:lnTo>
                              </a:path>
                            </a:pathLst>
                          </a:custGeom>
                          <a:noFill/>
                          <a:ln w="11430" cap="rnd">
                            <a:solidFill>
                              <a:srgbClr val="00B0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248920" y="1534795"/>
                            <a:ext cx="2678430" cy="0"/>
                          </a:xfrm>
                          <a:custGeom>
                            <a:avLst/>
                            <a:gdLst>
                              <a:gd name="T0" fmla="*/ 55 w 4218"/>
                              <a:gd name="T1" fmla="*/ 158 w 4218"/>
                              <a:gd name="T2" fmla="*/ 267 w 4218"/>
                              <a:gd name="T3" fmla="*/ 371 w 4218"/>
                              <a:gd name="T4" fmla="*/ 474 w 4218"/>
                              <a:gd name="T5" fmla="*/ 583 w 4218"/>
                              <a:gd name="T6" fmla="*/ 687 w 4218"/>
                              <a:gd name="T7" fmla="*/ 790 w 4218"/>
                              <a:gd name="T8" fmla="*/ 900 w 4218"/>
                              <a:gd name="T9" fmla="*/ 1003 w 4218"/>
                              <a:gd name="T10" fmla="*/ 1112 w 4218"/>
                              <a:gd name="T11" fmla="*/ 1216 w 4218"/>
                              <a:gd name="T12" fmla="*/ 1319 w 4218"/>
                              <a:gd name="T13" fmla="*/ 1428 w 4218"/>
                              <a:gd name="T14" fmla="*/ 1532 w 4218"/>
                              <a:gd name="T15" fmla="*/ 1635 w 4218"/>
                              <a:gd name="T16" fmla="*/ 1744 w 4218"/>
                              <a:gd name="T17" fmla="*/ 1848 w 4218"/>
                              <a:gd name="T18" fmla="*/ 1951 w 4218"/>
                              <a:gd name="T19" fmla="*/ 2060 w 4218"/>
                              <a:gd name="T20" fmla="*/ 2164 w 4218"/>
                              <a:gd name="T21" fmla="*/ 2267 w 4218"/>
                              <a:gd name="T22" fmla="*/ 2377 w 4218"/>
                              <a:gd name="T23" fmla="*/ 2480 w 4218"/>
                              <a:gd name="T24" fmla="*/ 2583 w 4218"/>
                              <a:gd name="T25" fmla="*/ 2693 w 4218"/>
                              <a:gd name="T26" fmla="*/ 2796 w 4218"/>
                              <a:gd name="T27" fmla="*/ 2899 w 4218"/>
                              <a:gd name="T28" fmla="*/ 3009 w 4218"/>
                              <a:gd name="T29" fmla="*/ 3112 w 4218"/>
                              <a:gd name="T30" fmla="*/ 3215 w 4218"/>
                              <a:gd name="T31" fmla="*/ 3325 w 4218"/>
                              <a:gd name="T32" fmla="*/ 3428 w 4218"/>
                              <a:gd name="T33" fmla="*/ 3531 w 4218"/>
                              <a:gd name="T34" fmla="*/ 3641 w 4218"/>
                              <a:gd name="T35" fmla="*/ 3744 w 4218"/>
                              <a:gd name="T36" fmla="*/ 3847 w 4218"/>
                              <a:gd name="T37" fmla="*/ 3957 w 4218"/>
                              <a:gd name="T38" fmla="*/ 4060 w 4218"/>
                              <a:gd name="T39" fmla="*/ 4163 w 4218"/>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 ang="0">
                                <a:pos x="T16" y="0"/>
                              </a:cxn>
                              <a:cxn ang="0">
                                <a:pos x="T17" y="0"/>
                              </a:cxn>
                              <a:cxn ang="0">
                                <a:pos x="T18" y="0"/>
                              </a:cxn>
                              <a:cxn ang="0">
                                <a:pos x="T19" y="0"/>
                              </a:cxn>
                              <a:cxn ang="0">
                                <a:pos x="T20" y="0"/>
                              </a:cxn>
                              <a:cxn ang="0">
                                <a:pos x="T21" y="0"/>
                              </a:cxn>
                              <a:cxn ang="0">
                                <a:pos x="T22" y="0"/>
                              </a:cxn>
                              <a:cxn ang="0">
                                <a:pos x="T23" y="0"/>
                              </a:cxn>
                              <a:cxn ang="0">
                                <a:pos x="T24" y="0"/>
                              </a:cxn>
                              <a:cxn ang="0">
                                <a:pos x="T25" y="0"/>
                              </a:cxn>
                              <a:cxn ang="0">
                                <a:pos x="T26" y="0"/>
                              </a:cxn>
                              <a:cxn ang="0">
                                <a:pos x="T27" y="0"/>
                              </a:cxn>
                              <a:cxn ang="0">
                                <a:pos x="T28" y="0"/>
                              </a:cxn>
                              <a:cxn ang="0">
                                <a:pos x="T29" y="0"/>
                              </a:cxn>
                              <a:cxn ang="0">
                                <a:pos x="T30" y="0"/>
                              </a:cxn>
                              <a:cxn ang="0">
                                <a:pos x="T31" y="0"/>
                              </a:cxn>
                              <a:cxn ang="0">
                                <a:pos x="T32" y="0"/>
                              </a:cxn>
                              <a:cxn ang="0">
                                <a:pos x="T33" y="0"/>
                              </a:cxn>
                              <a:cxn ang="0">
                                <a:pos x="T34" y="0"/>
                              </a:cxn>
                              <a:cxn ang="0">
                                <a:pos x="T35" y="0"/>
                              </a:cxn>
                              <a:cxn ang="0">
                                <a:pos x="T36" y="0"/>
                              </a:cxn>
                              <a:cxn ang="0">
                                <a:pos x="T37" y="0"/>
                              </a:cxn>
                              <a:cxn ang="0">
                                <a:pos x="T38" y="0"/>
                              </a:cxn>
                              <a:cxn ang="0">
                                <a:pos x="T39" y="0"/>
                              </a:cxn>
                            </a:cxnLst>
                            <a:rect l="0" t="0" r="r" b="b"/>
                            <a:pathLst>
                              <a:path w="4218">
                                <a:moveTo>
                                  <a:pt x="0" y="0"/>
                                </a:moveTo>
                                <a:lnTo>
                                  <a:pt x="55" y="0"/>
                                </a:lnTo>
                                <a:lnTo>
                                  <a:pt x="109" y="0"/>
                                </a:lnTo>
                                <a:lnTo>
                                  <a:pt x="158" y="0"/>
                                </a:lnTo>
                                <a:lnTo>
                                  <a:pt x="213" y="0"/>
                                </a:lnTo>
                                <a:lnTo>
                                  <a:pt x="267" y="0"/>
                                </a:lnTo>
                                <a:lnTo>
                                  <a:pt x="316" y="0"/>
                                </a:lnTo>
                                <a:lnTo>
                                  <a:pt x="371" y="0"/>
                                </a:lnTo>
                                <a:lnTo>
                                  <a:pt x="425" y="0"/>
                                </a:lnTo>
                                <a:lnTo>
                                  <a:pt x="474" y="0"/>
                                </a:lnTo>
                                <a:lnTo>
                                  <a:pt x="529" y="0"/>
                                </a:lnTo>
                                <a:lnTo>
                                  <a:pt x="583" y="0"/>
                                </a:lnTo>
                                <a:lnTo>
                                  <a:pt x="632" y="0"/>
                                </a:lnTo>
                                <a:lnTo>
                                  <a:pt x="687" y="0"/>
                                </a:lnTo>
                                <a:lnTo>
                                  <a:pt x="742" y="0"/>
                                </a:lnTo>
                                <a:lnTo>
                                  <a:pt x="790" y="0"/>
                                </a:lnTo>
                                <a:lnTo>
                                  <a:pt x="845" y="0"/>
                                </a:lnTo>
                                <a:lnTo>
                                  <a:pt x="900" y="0"/>
                                </a:lnTo>
                                <a:lnTo>
                                  <a:pt x="954" y="0"/>
                                </a:lnTo>
                                <a:lnTo>
                                  <a:pt x="1003" y="0"/>
                                </a:lnTo>
                                <a:lnTo>
                                  <a:pt x="1058" y="0"/>
                                </a:lnTo>
                                <a:lnTo>
                                  <a:pt x="1112" y="0"/>
                                </a:lnTo>
                                <a:lnTo>
                                  <a:pt x="1161" y="0"/>
                                </a:lnTo>
                                <a:lnTo>
                                  <a:pt x="1216" y="0"/>
                                </a:lnTo>
                                <a:lnTo>
                                  <a:pt x="1270" y="0"/>
                                </a:lnTo>
                                <a:lnTo>
                                  <a:pt x="1319" y="0"/>
                                </a:lnTo>
                                <a:lnTo>
                                  <a:pt x="1374" y="0"/>
                                </a:lnTo>
                                <a:lnTo>
                                  <a:pt x="1428" y="0"/>
                                </a:lnTo>
                                <a:lnTo>
                                  <a:pt x="1477" y="0"/>
                                </a:lnTo>
                                <a:lnTo>
                                  <a:pt x="1532" y="0"/>
                                </a:lnTo>
                                <a:lnTo>
                                  <a:pt x="1586" y="0"/>
                                </a:lnTo>
                                <a:lnTo>
                                  <a:pt x="1635" y="0"/>
                                </a:lnTo>
                                <a:lnTo>
                                  <a:pt x="1690" y="0"/>
                                </a:lnTo>
                                <a:lnTo>
                                  <a:pt x="1744" y="0"/>
                                </a:lnTo>
                                <a:lnTo>
                                  <a:pt x="1793" y="0"/>
                                </a:lnTo>
                                <a:lnTo>
                                  <a:pt x="1848" y="0"/>
                                </a:lnTo>
                                <a:lnTo>
                                  <a:pt x="1902" y="0"/>
                                </a:lnTo>
                                <a:lnTo>
                                  <a:pt x="1951" y="0"/>
                                </a:lnTo>
                                <a:lnTo>
                                  <a:pt x="2006" y="0"/>
                                </a:lnTo>
                                <a:lnTo>
                                  <a:pt x="2060" y="0"/>
                                </a:lnTo>
                                <a:lnTo>
                                  <a:pt x="2109" y="0"/>
                                </a:lnTo>
                                <a:lnTo>
                                  <a:pt x="2164" y="0"/>
                                </a:lnTo>
                                <a:lnTo>
                                  <a:pt x="2218" y="0"/>
                                </a:lnTo>
                                <a:lnTo>
                                  <a:pt x="2267" y="0"/>
                                </a:lnTo>
                                <a:lnTo>
                                  <a:pt x="2322" y="0"/>
                                </a:lnTo>
                                <a:lnTo>
                                  <a:pt x="2377" y="0"/>
                                </a:lnTo>
                                <a:lnTo>
                                  <a:pt x="2425" y="0"/>
                                </a:lnTo>
                                <a:lnTo>
                                  <a:pt x="2480" y="0"/>
                                </a:lnTo>
                                <a:lnTo>
                                  <a:pt x="2535" y="0"/>
                                </a:lnTo>
                                <a:lnTo>
                                  <a:pt x="2583" y="0"/>
                                </a:lnTo>
                                <a:lnTo>
                                  <a:pt x="2638" y="0"/>
                                </a:lnTo>
                                <a:lnTo>
                                  <a:pt x="2693" y="0"/>
                                </a:lnTo>
                                <a:lnTo>
                                  <a:pt x="2741" y="0"/>
                                </a:lnTo>
                                <a:lnTo>
                                  <a:pt x="2796" y="0"/>
                                </a:lnTo>
                                <a:lnTo>
                                  <a:pt x="2851" y="0"/>
                                </a:lnTo>
                                <a:lnTo>
                                  <a:pt x="2899" y="0"/>
                                </a:lnTo>
                                <a:lnTo>
                                  <a:pt x="2954" y="0"/>
                                </a:lnTo>
                                <a:lnTo>
                                  <a:pt x="3009" y="0"/>
                                </a:lnTo>
                                <a:lnTo>
                                  <a:pt x="3057" y="0"/>
                                </a:lnTo>
                                <a:lnTo>
                                  <a:pt x="3112" y="0"/>
                                </a:lnTo>
                                <a:lnTo>
                                  <a:pt x="3167" y="0"/>
                                </a:lnTo>
                                <a:lnTo>
                                  <a:pt x="3215" y="0"/>
                                </a:lnTo>
                                <a:lnTo>
                                  <a:pt x="3270" y="0"/>
                                </a:lnTo>
                                <a:lnTo>
                                  <a:pt x="3325" y="0"/>
                                </a:lnTo>
                                <a:lnTo>
                                  <a:pt x="3373" y="0"/>
                                </a:lnTo>
                                <a:lnTo>
                                  <a:pt x="3428" y="0"/>
                                </a:lnTo>
                                <a:lnTo>
                                  <a:pt x="3483" y="0"/>
                                </a:lnTo>
                                <a:lnTo>
                                  <a:pt x="3531" y="0"/>
                                </a:lnTo>
                                <a:lnTo>
                                  <a:pt x="3586" y="0"/>
                                </a:lnTo>
                                <a:lnTo>
                                  <a:pt x="3641" y="0"/>
                                </a:lnTo>
                                <a:lnTo>
                                  <a:pt x="3689" y="0"/>
                                </a:lnTo>
                                <a:lnTo>
                                  <a:pt x="3744" y="0"/>
                                </a:lnTo>
                                <a:lnTo>
                                  <a:pt x="3799" y="0"/>
                                </a:lnTo>
                                <a:lnTo>
                                  <a:pt x="3847" y="0"/>
                                </a:lnTo>
                                <a:lnTo>
                                  <a:pt x="3902" y="0"/>
                                </a:lnTo>
                                <a:lnTo>
                                  <a:pt x="3957" y="0"/>
                                </a:lnTo>
                                <a:lnTo>
                                  <a:pt x="4005" y="0"/>
                                </a:lnTo>
                                <a:lnTo>
                                  <a:pt x="4060" y="0"/>
                                </a:lnTo>
                                <a:lnTo>
                                  <a:pt x="4115" y="0"/>
                                </a:lnTo>
                                <a:lnTo>
                                  <a:pt x="4163" y="0"/>
                                </a:lnTo>
                                <a:lnTo>
                                  <a:pt x="4218" y="0"/>
                                </a:lnTo>
                              </a:path>
                            </a:pathLst>
                          </a:custGeom>
                          <a:noFill/>
                          <a:ln w="1143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3"/>
                        <wps:cNvSpPr>
                          <a:spLocks noChangeArrowheads="1"/>
                        </wps:cNvSpPr>
                        <wps:spPr bwMode="auto">
                          <a:xfrm>
                            <a:off x="9525" y="2434590"/>
                            <a:ext cx="14732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color w:val="000000"/>
                                  <w:sz w:val="16"/>
                                  <w:szCs w:val="16"/>
                                  <w:lang w:val="en-US"/>
                                </w:rPr>
                                <w:t>-10</w:t>
                              </w:r>
                            </w:p>
                          </w:txbxContent>
                        </wps:txbx>
                        <wps:bodyPr rot="0" vert="horz" wrap="none" lIns="0" tIns="0" rIns="0" bIns="0" anchor="t" anchorCtr="0">
                          <a:spAutoFit/>
                        </wps:bodyPr>
                      </wps:wsp>
                      <wps:wsp>
                        <wps:cNvPr id="19" name="Rectangle 14"/>
                        <wps:cNvSpPr>
                          <a:spLocks noChangeArrowheads="1"/>
                        </wps:cNvSpPr>
                        <wps:spPr bwMode="auto">
                          <a:xfrm>
                            <a:off x="66675" y="2083435"/>
                            <a:ext cx="9080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color w:val="000000"/>
                                  <w:sz w:val="16"/>
                                  <w:szCs w:val="16"/>
                                  <w:lang w:val="en-US"/>
                                </w:rPr>
                                <w:t>-5</w:t>
                              </w:r>
                            </w:p>
                          </w:txbxContent>
                        </wps:txbx>
                        <wps:bodyPr rot="0" vert="horz" wrap="none" lIns="0" tIns="0" rIns="0" bIns="0" anchor="t" anchorCtr="0">
                          <a:spAutoFit/>
                        </wps:bodyPr>
                      </wps:wsp>
                      <wps:wsp>
                        <wps:cNvPr id="20" name="Rectangle 15"/>
                        <wps:cNvSpPr>
                          <a:spLocks noChangeArrowheads="1"/>
                        </wps:cNvSpPr>
                        <wps:spPr bwMode="auto">
                          <a:xfrm>
                            <a:off x="100965" y="1731645"/>
                            <a:ext cx="5651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color w:val="000000"/>
                                  <w:sz w:val="16"/>
                                  <w:szCs w:val="16"/>
                                  <w:lang w:val="en-US"/>
                                </w:rPr>
                                <w:t>0</w:t>
                              </w:r>
                            </w:p>
                          </w:txbxContent>
                        </wps:txbx>
                        <wps:bodyPr rot="0" vert="horz" wrap="none" lIns="0" tIns="0" rIns="0" bIns="0" anchor="t" anchorCtr="0">
                          <a:spAutoFit/>
                        </wps:bodyPr>
                      </wps:wsp>
                      <wps:wsp>
                        <wps:cNvPr id="21" name="Rectangle 16"/>
                        <wps:cNvSpPr>
                          <a:spLocks noChangeArrowheads="1"/>
                        </wps:cNvSpPr>
                        <wps:spPr bwMode="auto">
                          <a:xfrm>
                            <a:off x="100965" y="1379855"/>
                            <a:ext cx="5651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color w:val="000000"/>
                                  <w:sz w:val="16"/>
                                  <w:szCs w:val="16"/>
                                  <w:lang w:val="en-US"/>
                                </w:rPr>
                                <w:t>5</w:t>
                              </w:r>
                            </w:p>
                          </w:txbxContent>
                        </wps:txbx>
                        <wps:bodyPr rot="0" vert="horz" wrap="none" lIns="0" tIns="0" rIns="0" bIns="0" anchor="t" anchorCtr="0">
                          <a:spAutoFit/>
                        </wps:bodyPr>
                      </wps:wsp>
                      <wps:wsp>
                        <wps:cNvPr id="22" name="Rectangle 17"/>
                        <wps:cNvSpPr>
                          <a:spLocks noChangeArrowheads="1"/>
                        </wps:cNvSpPr>
                        <wps:spPr bwMode="auto">
                          <a:xfrm>
                            <a:off x="43815" y="1028065"/>
                            <a:ext cx="11303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color w:val="000000"/>
                                  <w:sz w:val="16"/>
                                  <w:szCs w:val="16"/>
                                  <w:lang w:val="en-US"/>
                                </w:rPr>
                                <w:t>10</w:t>
                              </w:r>
                            </w:p>
                          </w:txbxContent>
                        </wps:txbx>
                        <wps:bodyPr rot="0" vert="horz" wrap="none" lIns="0" tIns="0" rIns="0" bIns="0" anchor="t" anchorCtr="0">
                          <a:spAutoFit/>
                        </wps:bodyPr>
                      </wps:wsp>
                      <wps:wsp>
                        <wps:cNvPr id="23" name="Rectangle 18"/>
                        <wps:cNvSpPr>
                          <a:spLocks noChangeArrowheads="1"/>
                        </wps:cNvSpPr>
                        <wps:spPr bwMode="auto">
                          <a:xfrm>
                            <a:off x="43815" y="676275"/>
                            <a:ext cx="11303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color w:val="000000"/>
                                  <w:sz w:val="16"/>
                                  <w:szCs w:val="16"/>
                                  <w:lang w:val="en-US"/>
                                </w:rPr>
                                <w:t>15</w:t>
                              </w:r>
                            </w:p>
                          </w:txbxContent>
                        </wps:txbx>
                        <wps:bodyPr rot="0" vert="horz" wrap="none" lIns="0" tIns="0" rIns="0" bIns="0" anchor="t" anchorCtr="0">
                          <a:spAutoFit/>
                        </wps:bodyPr>
                      </wps:wsp>
                      <wps:wsp>
                        <wps:cNvPr id="24" name="Rectangle 19"/>
                        <wps:cNvSpPr>
                          <a:spLocks noChangeArrowheads="1"/>
                        </wps:cNvSpPr>
                        <wps:spPr bwMode="auto">
                          <a:xfrm>
                            <a:off x="43815" y="325120"/>
                            <a:ext cx="11303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color w:val="000000"/>
                                  <w:sz w:val="16"/>
                                  <w:szCs w:val="16"/>
                                  <w:lang w:val="en-US"/>
                                </w:rPr>
                                <w:t>20</w:t>
                              </w:r>
                            </w:p>
                          </w:txbxContent>
                        </wps:txbx>
                        <wps:bodyPr rot="0" vert="horz" wrap="none" lIns="0" tIns="0" rIns="0" bIns="0" anchor="t" anchorCtr="0">
                          <a:spAutoFit/>
                        </wps:bodyPr>
                      </wps:wsp>
                      <wps:wsp>
                        <wps:cNvPr id="25" name="Rectangle 20"/>
                        <wps:cNvSpPr>
                          <a:spLocks noChangeArrowheads="1"/>
                        </wps:cNvSpPr>
                        <wps:spPr bwMode="auto">
                          <a:xfrm>
                            <a:off x="86360" y="2557780"/>
                            <a:ext cx="32766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color w:val="000000"/>
                                  <w:sz w:val="16"/>
                                  <w:szCs w:val="16"/>
                                  <w:lang w:val="en-US"/>
                                </w:rPr>
                                <w:t>Dec-99</w:t>
                              </w:r>
                            </w:p>
                          </w:txbxContent>
                        </wps:txbx>
                        <wps:bodyPr rot="0" vert="horz" wrap="none" lIns="0" tIns="0" rIns="0" bIns="0" anchor="t" anchorCtr="0">
                          <a:spAutoFit/>
                        </wps:bodyPr>
                      </wps:wsp>
                      <wps:wsp>
                        <wps:cNvPr id="26" name="Rectangle 21"/>
                        <wps:cNvSpPr>
                          <a:spLocks noChangeArrowheads="1"/>
                        </wps:cNvSpPr>
                        <wps:spPr bwMode="auto">
                          <a:xfrm>
                            <a:off x="755650" y="2557780"/>
                            <a:ext cx="32766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color w:val="000000"/>
                                  <w:sz w:val="16"/>
                                  <w:szCs w:val="16"/>
                                  <w:lang w:val="en-US"/>
                                </w:rPr>
                                <w:t>Dec-04</w:t>
                              </w:r>
                            </w:p>
                          </w:txbxContent>
                        </wps:txbx>
                        <wps:bodyPr rot="0" vert="horz" wrap="none" lIns="0" tIns="0" rIns="0" bIns="0" anchor="t" anchorCtr="0">
                          <a:spAutoFit/>
                        </wps:bodyPr>
                      </wps:wsp>
                      <wps:wsp>
                        <wps:cNvPr id="27" name="Rectangle 22"/>
                        <wps:cNvSpPr>
                          <a:spLocks noChangeArrowheads="1"/>
                        </wps:cNvSpPr>
                        <wps:spPr bwMode="auto">
                          <a:xfrm>
                            <a:off x="1424940" y="2557780"/>
                            <a:ext cx="32766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color w:val="000000"/>
                                  <w:sz w:val="16"/>
                                  <w:szCs w:val="16"/>
                                  <w:lang w:val="en-US"/>
                                </w:rPr>
                                <w:t>Dec-09</w:t>
                              </w:r>
                            </w:p>
                          </w:txbxContent>
                        </wps:txbx>
                        <wps:bodyPr rot="0" vert="horz" wrap="none" lIns="0" tIns="0" rIns="0" bIns="0" anchor="t" anchorCtr="0">
                          <a:spAutoFit/>
                        </wps:bodyPr>
                      </wps:wsp>
                      <wps:wsp>
                        <wps:cNvPr id="28" name="Rectangle 23"/>
                        <wps:cNvSpPr>
                          <a:spLocks noChangeArrowheads="1"/>
                        </wps:cNvSpPr>
                        <wps:spPr bwMode="auto">
                          <a:xfrm>
                            <a:off x="2094230" y="2557780"/>
                            <a:ext cx="32766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color w:val="000000"/>
                                  <w:sz w:val="16"/>
                                  <w:szCs w:val="16"/>
                                  <w:lang w:val="en-US"/>
                                </w:rPr>
                                <w:t>Dec-14</w:t>
                              </w:r>
                            </w:p>
                          </w:txbxContent>
                        </wps:txbx>
                        <wps:bodyPr rot="0" vert="horz" wrap="none" lIns="0" tIns="0" rIns="0" bIns="0" anchor="t" anchorCtr="0">
                          <a:spAutoFit/>
                        </wps:bodyPr>
                      </wps:wsp>
                      <wps:wsp>
                        <wps:cNvPr id="29" name="Rectangle 24"/>
                        <wps:cNvSpPr>
                          <a:spLocks noChangeArrowheads="1"/>
                        </wps:cNvSpPr>
                        <wps:spPr bwMode="auto">
                          <a:xfrm>
                            <a:off x="2763520" y="2557780"/>
                            <a:ext cx="32766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color w:val="000000"/>
                                  <w:sz w:val="16"/>
                                  <w:szCs w:val="16"/>
                                  <w:lang w:val="en-US"/>
                                </w:rPr>
                                <w:t>Dec-19</w:t>
                              </w:r>
                            </w:p>
                          </w:txbxContent>
                        </wps:txbx>
                        <wps:bodyPr rot="0" vert="horz" wrap="none" lIns="0" tIns="0" rIns="0" bIns="0" anchor="t" anchorCtr="0">
                          <a:spAutoFit/>
                        </wps:bodyPr>
                      </wps:wsp>
                      <wps:wsp>
                        <wps:cNvPr id="30" name="Line 25"/>
                        <wps:cNvCnPr>
                          <a:cxnSpLocks noChangeShapeType="1"/>
                        </wps:cNvCnPr>
                        <wps:spPr bwMode="auto">
                          <a:xfrm>
                            <a:off x="326390" y="608330"/>
                            <a:ext cx="96520" cy="0"/>
                          </a:xfrm>
                          <a:prstGeom prst="line">
                            <a:avLst/>
                          </a:prstGeom>
                          <a:noFill/>
                          <a:ln w="11430" cap="rnd">
                            <a:solidFill>
                              <a:srgbClr val="002060"/>
                            </a:solidFill>
                            <a:prstDash val="solid"/>
                            <a:round/>
                            <a:headEnd/>
                            <a:tailEnd/>
                          </a:ln>
                          <a:extLst>
                            <a:ext uri="{909E8E84-426E-40DD-AFC4-6F175D3DCCD1}">
                              <a14:hiddenFill xmlns:a14="http://schemas.microsoft.com/office/drawing/2010/main">
                                <a:noFill/>
                              </a14:hiddenFill>
                            </a:ext>
                          </a:extLst>
                        </wps:spPr>
                        <wps:bodyPr/>
                      </wps:wsp>
                      <wps:wsp>
                        <wps:cNvPr id="31" name="Rectangle 26"/>
                        <wps:cNvSpPr>
                          <a:spLocks noChangeArrowheads="1"/>
                        </wps:cNvSpPr>
                        <wps:spPr bwMode="auto">
                          <a:xfrm>
                            <a:off x="436245" y="549910"/>
                            <a:ext cx="16383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color w:val="000000"/>
                                  <w:sz w:val="16"/>
                                  <w:szCs w:val="16"/>
                                  <w:lang w:val="en-US"/>
                                </w:rPr>
                                <w:t>WA</w:t>
                              </w:r>
                            </w:p>
                          </w:txbxContent>
                        </wps:txbx>
                        <wps:bodyPr rot="0" vert="horz" wrap="none" lIns="0" tIns="0" rIns="0" bIns="0" anchor="t" anchorCtr="0">
                          <a:spAutoFit/>
                        </wps:bodyPr>
                      </wps:wsp>
                      <wps:wsp>
                        <wps:cNvPr id="32" name="Line 27"/>
                        <wps:cNvCnPr>
                          <a:cxnSpLocks noChangeShapeType="1"/>
                        </wps:cNvCnPr>
                        <wps:spPr bwMode="auto">
                          <a:xfrm>
                            <a:off x="669925" y="608330"/>
                            <a:ext cx="95885" cy="0"/>
                          </a:xfrm>
                          <a:prstGeom prst="line">
                            <a:avLst/>
                          </a:prstGeom>
                          <a:noFill/>
                          <a:ln w="11430" cap="rnd">
                            <a:solidFill>
                              <a:srgbClr val="00B0F0"/>
                            </a:solidFill>
                            <a:prstDash val="solid"/>
                            <a:round/>
                            <a:headEnd/>
                            <a:tailEnd/>
                          </a:ln>
                          <a:extLst>
                            <a:ext uri="{909E8E84-426E-40DD-AFC4-6F175D3DCCD1}">
                              <a14:hiddenFill xmlns:a14="http://schemas.microsoft.com/office/drawing/2010/main">
                                <a:noFill/>
                              </a14:hiddenFill>
                            </a:ext>
                          </a:extLst>
                        </wps:spPr>
                        <wps:bodyPr/>
                      </wps:wsp>
                      <wps:wsp>
                        <wps:cNvPr id="33" name="Rectangle 28"/>
                        <wps:cNvSpPr>
                          <a:spLocks noChangeArrowheads="1"/>
                        </wps:cNvSpPr>
                        <wps:spPr bwMode="auto">
                          <a:xfrm>
                            <a:off x="779145" y="549910"/>
                            <a:ext cx="39560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color w:val="000000"/>
                                  <w:sz w:val="16"/>
                                  <w:szCs w:val="16"/>
                                  <w:lang w:val="en-US"/>
                                </w:rPr>
                                <w:t>Australia</w:t>
                              </w:r>
                            </w:p>
                          </w:txbxContent>
                        </wps:txbx>
                        <wps:bodyPr rot="0" vert="horz" wrap="none" lIns="0" tIns="0" rIns="0" bIns="0" anchor="t" anchorCtr="0">
                          <a:spAutoFit/>
                        </wps:bodyPr>
                      </wps:wsp>
                      <wps:wsp>
                        <wps:cNvPr id="34" name="Rectangle 29"/>
                        <wps:cNvSpPr>
                          <a:spLocks noChangeArrowheads="1"/>
                        </wps:cNvSpPr>
                        <wps:spPr bwMode="auto">
                          <a:xfrm>
                            <a:off x="245110" y="46990"/>
                            <a:ext cx="35560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b/>
                                  <w:bCs/>
                                  <w:color w:val="000000"/>
                                  <w:sz w:val="16"/>
                                  <w:szCs w:val="16"/>
                                  <w:lang w:val="en-US"/>
                                </w:rPr>
                                <w:t>CHART</w:t>
                              </w:r>
                            </w:p>
                          </w:txbxContent>
                        </wps:txbx>
                        <wps:bodyPr rot="0" vert="horz" wrap="none" lIns="0" tIns="0" rIns="0" bIns="0" anchor="t" anchorCtr="0">
                          <a:spAutoFit/>
                        </wps:bodyPr>
                      </wps:wsp>
                      <wps:wsp>
                        <wps:cNvPr id="35" name="Rectangle 30"/>
                        <wps:cNvSpPr>
                          <a:spLocks noChangeArrowheads="1"/>
                        </wps:cNvSpPr>
                        <wps:spPr bwMode="auto">
                          <a:xfrm>
                            <a:off x="635000" y="46990"/>
                            <a:ext cx="2218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b/>
                                  <w:bCs/>
                                  <w:color w:val="000000"/>
                                  <w:sz w:val="16"/>
                                  <w:szCs w:val="16"/>
                                  <w:lang w:val="en-US"/>
                                </w:rPr>
                                <w:t xml:space="preserve">1: FINAL DEMAND, SEASONALLY ADJUSTED </w:t>
                              </w:r>
                            </w:p>
                          </w:txbxContent>
                        </wps:txbx>
                        <wps:bodyPr rot="0" vert="horz" wrap="none" lIns="0" tIns="0" rIns="0" bIns="0" anchor="t" anchorCtr="0">
                          <a:spAutoFit/>
                        </wps:bodyPr>
                      </wps:wsp>
                      <wps:wsp>
                        <wps:cNvPr id="36" name="Rectangle 31"/>
                        <wps:cNvSpPr>
                          <a:spLocks noChangeArrowheads="1"/>
                        </wps:cNvSpPr>
                        <wps:spPr bwMode="auto">
                          <a:xfrm>
                            <a:off x="1048385" y="170180"/>
                            <a:ext cx="107886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color w:val="000000"/>
                                  <w:sz w:val="16"/>
                                  <w:szCs w:val="16"/>
                                  <w:lang w:val="en-US"/>
                                </w:rPr>
                                <w:t>Annual Average Growth</w:t>
                              </w:r>
                            </w:p>
                          </w:txbxContent>
                        </wps:txbx>
                        <wps:bodyPr rot="0" vert="horz" wrap="none" lIns="0" tIns="0" rIns="0" bIns="0" anchor="t" anchorCtr="0">
                          <a:spAutoFit/>
                        </wps:bodyPr>
                      </wps:wsp>
                      <wps:wsp>
                        <wps:cNvPr id="37" name="Rectangle 32"/>
                        <wps:cNvSpPr>
                          <a:spLocks noChangeArrowheads="1"/>
                        </wps:cNvSpPr>
                        <wps:spPr bwMode="auto">
                          <a:xfrm>
                            <a:off x="254000" y="264795"/>
                            <a:ext cx="9080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color w:val="000000"/>
                                  <w:sz w:val="16"/>
                                  <w:szCs w:val="16"/>
                                  <w:lang w:val="en-US"/>
                                </w:rPr>
                                <w:t>%</w:t>
                              </w:r>
                            </w:p>
                          </w:txbxContent>
                        </wps:txbx>
                        <wps:bodyPr rot="0" vert="horz" wrap="none" lIns="0" tIns="0" rIns="0" bIns="0" anchor="t" anchorCtr="0">
                          <a:spAutoFit/>
                        </wps:bodyPr>
                      </wps:wsp>
                      <wps:wsp>
                        <wps:cNvPr id="38" name="Rectangle 33"/>
                        <wps:cNvSpPr>
                          <a:spLocks noChangeArrowheads="1"/>
                        </wps:cNvSpPr>
                        <wps:spPr bwMode="auto">
                          <a:xfrm>
                            <a:off x="2279650" y="866140"/>
                            <a:ext cx="3054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color w:val="000000"/>
                                  <w:sz w:val="16"/>
                                  <w:szCs w:val="16"/>
                                  <w:lang w:val="en-US"/>
                                </w:rPr>
                                <w:t>WA 20</w:t>
                              </w:r>
                            </w:p>
                          </w:txbxContent>
                        </wps:txbx>
                        <wps:bodyPr rot="0" vert="horz" wrap="none" lIns="0" tIns="0" rIns="0" bIns="0" anchor="t" anchorCtr="0">
                          <a:spAutoFit/>
                        </wps:bodyPr>
                      </wps:wsp>
                      <wps:wsp>
                        <wps:cNvPr id="39" name="Rectangle 34"/>
                        <wps:cNvSpPr>
                          <a:spLocks noChangeArrowheads="1"/>
                        </wps:cNvSpPr>
                        <wps:spPr bwMode="auto">
                          <a:xfrm>
                            <a:off x="2592070" y="866140"/>
                            <a:ext cx="342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color w:val="000000"/>
                                  <w:sz w:val="16"/>
                                  <w:szCs w:val="16"/>
                                  <w:lang w:val="en-US"/>
                                </w:rPr>
                                <w:t>-</w:t>
                              </w:r>
                            </w:p>
                          </w:txbxContent>
                        </wps:txbx>
                        <wps:bodyPr rot="0" vert="horz" wrap="none" lIns="0" tIns="0" rIns="0" bIns="0" anchor="t" anchorCtr="0">
                          <a:spAutoFit/>
                        </wps:bodyPr>
                      </wps:wsp>
                      <wps:wsp>
                        <wps:cNvPr id="40" name="Rectangle 35"/>
                        <wps:cNvSpPr>
                          <a:spLocks noChangeArrowheads="1"/>
                        </wps:cNvSpPr>
                        <wps:spPr bwMode="auto">
                          <a:xfrm>
                            <a:off x="2626995" y="866140"/>
                            <a:ext cx="19812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color w:val="000000"/>
                                  <w:sz w:val="16"/>
                                  <w:szCs w:val="16"/>
                                  <w:lang w:val="en-US"/>
                                </w:rPr>
                                <w:t xml:space="preserve">year </w:t>
                              </w:r>
                            </w:p>
                          </w:txbxContent>
                        </wps:txbx>
                        <wps:bodyPr rot="0" vert="horz" wrap="none" lIns="0" tIns="0" rIns="0" bIns="0" anchor="t" anchorCtr="0">
                          <a:spAutoFit/>
                        </wps:bodyPr>
                      </wps:wsp>
                      <wps:wsp>
                        <wps:cNvPr id="41" name="Rectangle 36"/>
                        <wps:cNvSpPr>
                          <a:spLocks noChangeArrowheads="1"/>
                        </wps:cNvSpPr>
                        <wps:spPr bwMode="auto">
                          <a:xfrm>
                            <a:off x="2279650" y="985520"/>
                            <a:ext cx="62738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A1" w:rsidRDefault="00FC79A1">
                              <w:r>
                                <w:rPr>
                                  <w:rFonts w:ascii="Arial" w:hAnsi="Arial" w:cs="Arial"/>
                                  <w:color w:val="000000"/>
                                  <w:sz w:val="16"/>
                                  <w:szCs w:val="16"/>
                                  <w:lang w:val="en-US"/>
                                </w:rPr>
                                <w:t>average 3.6%</w:t>
                              </w:r>
                            </w:p>
                          </w:txbxContent>
                        </wps:txbx>
                        <wps:bodyPr rot="0" vert="horz" wrap="none" lIns="0" tIns="0" rIns="0" bIns="0" anchor="t" anchorCtr="0">
                          <a:spAutoFit/>
                        </wps:bodyPr>
                      </wps:wsp>
                      <wps:wsp>
                        <wps:cNvPr id="42" name="Freeform 37"/>
                        <wps:cNvSpPr>
                          <a:spLocks noEditPoints="1"/>
                        </wps:cNvSpPr>
                        <wps:spPr bwMode="auto">
                          <a:xfrm>
                            <a:off x="2576830" y="1143000"/>
                            <a:ext cx="30480" cy="344170"/>
                          </a:xfrm>
                          <a:custGeom>
                            <a:avLst/>
                            <a:gdLst>
                              <a:gd name="T0" fmla="*/ 26 w 48"/>
                              <a:gd name="T1" fmla="*/ 0 h 542"/>
                              <a:gd name="T2" fmla="*/ 30 w 48"/>
                              <a:gd name="T3" fmla="*/ 502 h 542"/>
                              <a:gd name="T4" fmla="*/ 18 w 48"/>
                              <a:gd name="T5" fmla="*/ 502 h 542"/>
                              <a:gd name="T6" fmla="*/ 14 w 48"/>
                              <a:gd name="T7" fmla="*/ 0 h 542"/>
                              <a:gd name="T8" fmla="*/ 26 w 48"/>
                              <a:gd name="T9" fmla="*/ 0 h 542"/>
                              <a:gd name="T10" fmla="*/ 48 w 48"/>
                              <a:gd name="T11" fmla="*/ 493 h 542"/>
                              <a:gd name="T12" fmla="*/ 24 w 48"/>
                              <a:gd name="T13" fmla="*/ 542 h 542"/>
                              <a:gd name="T14" fmla="*/ 0 w 48"/>
                              <a:gd name="T15" fmla="*/ 494 h 542"/>
                              <a:gd name="T16" fmla="*/ 48 w 48"/>
                              <a:gd name="T17" fmla="*/ 493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542">
                                <a:moveTo>
                                  <a:pt x="26" y="0"/>
                                </a:moveTo>
                                <a:lnTo>
                                  <a:pt x="30" y="502"/>
                                </a:lnTo>
                                <a:lnTo>
                                  <a:pt x="18" y="502"/>
                                </a:lnTo>
                                <a:lnTo>
                                  <a:pt x="14" y="0"/>
                                </a:lnTo>
                                <a:lnTo>
                                  <a:pt x="26" y="0"/>
                                </a:lnTo>
                                <a:close/>
                                <a:moveTo>
                                  <a:pt x="48" y="493"/>
                                </a:moveTo>
                                <a:lnTo>
                                  <a:pt x="24" y="542"/>
                                </a:lnTo>
                                <a:lnTo>
                                  <a:pt x="0" y="494"/>
                                </a:lnTo>
                                <a:lnTo>
                                  <a:pt x="48" y="49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3" o:spid="_x0000_s1026" editas="canvas" style="position:absolute;left:0;text-align:left;margin-left:225.45pt;margin-top:12.2pt;width:255.15pt;height:214.05pt;z-index:251661312" coordsize="32404,2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404;height:27184;visibility:visible;mso-wrap-style:square">
                  <v:fill o:detectmouseclick="t"/>
                  <v:path o:connecttype="none"/>
                </v:shape>
                <v:rect id="Rectangle 5" o:spid="_x0000_s1028" style="position:absolute;left:1009;width:31147;height:27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6" o:spid="_x0000_s1029" style="position:absolute;left:2451;top:3841;width:26898;height:2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" filled="f" strokeweight=".3pt">
                  <v:stroke joinstyle="round"/>
                </v:rect>
                <v:line id="Line 7" o:spid="_x0000_s1030" style="position:absolute;flip:y;visibility:visible;mso-wrap-style:square" from="2451,3841" to="2451,2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" strokeweight=".3pt"/>
                <v:shape id="Freeform 8" o:spid="_x0000_s1031" style="position:absolute;left:2139;top:3841;width:312;height:21082;visibility:visible;mso-wrap-style:square;v-text-anchor:top" coordsize="49,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" path="m,3320r49,m,2767r49,m,2214r49,m,1660r49,m,1107r49,m,553r49,m,l49,e" filled="f" strokeweight=".3pt">
                  <v:path arrowok="t" o:connecttype="custom" o:connectlocs="0,2108200;31115,2108200;0,1757045;31115,1757045;0,1405890;31115,1405890;0,1054100;31115,1054100;0,702945;31115,702945;0,351155;31115,351155;0,0;31115,0" o:connectangles="0,0,0,0,0,0,0,0,0,0,0,0,0,0"/>
                  <o:lock v:ext="edit" verticies="t"/>
                </v:shape>
                <v:line id="Line 9" o:spid="_x0000_s1032" style="position:absolute;visibility:visible;mso-wrap-style:square" from="2451,17900" to="29349,1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" strokeweight=".3pt"/>
                <v:shape id="Freeform 10" o:spid="_x0000_s1033" style="position:absolute;left:2489;top:6661;width:26784;height:17259;visibility:visible;mso-wrap-style:square;v-text-anchor:top" coordsize="4218,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" path="m,1788r55,-61l109,1538r49,31l213,1727r54,-30l316,1824r55,-152l425,1411r49,42l529,1271r54,-6l632,1277r55,-201l742,1034,790,876r55,-43l900,827r54,-12l1003,936r55,79l1112,1058r49,24l1216,979r54,-201l1319,687r55,-243l1428,462r49,103l1532,505r54,182l1635,590r55,24l1744,790r49,80l1848,1088r54,61l1951,1277r55,79l2060,1453r49,116l2164,1526r54,25l2267,1465r55,-97l2377,1180r48,-213l2480,572r55,-177l2583,231,2638,r55,243l2741,225r55,492l2851,1277r48,334l2954,2001r55,-79l3057,1915r55,49l3167,1934r48,158l3270,2031r55,-91l3373,2025r55,24l3483,2299r48,285l3586,2657r55,61l3689,2572r55,-340l3799,2001r48,-201l3902,1703r55,54l4005,1830r55,55l4115,1867r48,-49l4218,1721e" filled="f" strokecolor="#002060" strokeweight=".9pt">
                  <v:stroke endcap="round"/>
                  <v:path arrowok="t" o:connecttype="custom" o:connectlocs="34925,1096645;100330,996315;169545,1077595;235585,1061720;300990,922655;370205,803275;436245,683260;501650,556260;571500,525145;636905,594360;706120,671830;772160,621665;837565,436245;906780,293370;972820,320675;1038225,374650;1107440,501650;1173480,690880;1238885,810895;1308100,922655;1374140,969010;1439545,930275;1509395,749300;1574800,363220;1640205,146685;1710055,154305;1775460,455295;1840865,1022985;1910715,1220470;1976120,1247140;2041525,1328420;2111375,1231900;2176780,1301115;2242185,1640840;2312035,1725930;2377440,1417320;2442845,1143000;2512695,1115695;2578100,1196975;2643505,1154430" o:connectangles="0,0,0,0,0,0,0,0,0,0,0,0,0,0,0,0,0,0,0,0,0,0,0,0,0,0,0,0,0,0,0,0,0,0,0,0,0,0,0,0"/>
                </v:shape>
                <v:shape id="Freeform 11" o:spid="_x0000_s1034" style="position:absolute;left:2489;top:13227;width:26784;height:4864;visibility:visible;mso-wrap-style:square;v-text-anchor:top" coordsize="4218,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" path="m,170r55,6l109,182r49,67l213,401r54,158l316,729r55,37l425,608,474,450,529,237,583,85,632,30,687,r55,79l790,140r55,30l900,176,954,85r49,-37l1058,73r54,91l1161,213r55,24l1270,243r49,-55l1374,231r54,30l1477,279r55,-12l1586,206r49,-60l1690,67r54,6l1793,115r55,67l1902,316r49,146l2006,577r54,92l2109,644r55,-97l2218,450r49,-104l2322,340r55,-18l2425,316r55,-49l2535,206r48,-18l2638,140r55,73l2741,273r55,98l2851,535r48,61l2954,650r55,6l3057,614r55,12l3167,638r48,12l3270,656r55,-18l3373,620r55,-18l3483,583r48,-12l3586,535r55,-18l3689,492r55,-61l3799,407r48,-42l3902,346r55,25l4005,419r55,67l4115,547r48,36l4218,602e" filled="f" strokecolor="#00b0f0" strokeweight=".9pt">
                  <v:stroke endcap="round"/>
                  <v:path arrowok="t" o:connecttype="custom" o:connectlocs="34925,111760;100330,158115;169545,354965;235585,486410;300990,285750;370205,53975;436245,0;501650,88900;571500,111760;636905,30480;706120,104140;772160,150495;837565,119380;906780,165735;972820,169545;1038225,92710;1107440,46355;1173480,115570;1238885,293370;1308100,424815;1374140,347345;1439545,219710;1509395,204470;1574800,169545;1640205,119380;1710055,135255;1775460,235585;1840865,378460;1910715,416560;1976120,397510;2041525,412750;2111375,405130;2176780,382270;2242185,362585;2312035,328295;2377440,273685;2442845,231775;2512695,235585;2578100,308610;2643505,370205" o:connectangles="0,0,0,0,0,0,0,0,0,0,0,0,0,0,0,0,0,0,0,0,0,0,0,0,0,0,0,0,0,0,0,0,0,0,0,0,0,0,0,0"/>
                </v:shape>
                <v:shape id="Freeform 12" o:spid="_x0000_s1035" style="position:absolute;left:2489;top:15347;width:26784;height:0;visibility:visible;mso-wrap-style:square;v-text-anchor:top" coordsize="4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" path="m,l55,r54,l158,r55,l267,r49,l371,r54,l474,r55,l583,r49,l687,r55,l790,r55,l900,r54,l1003,r55,l1112,r49,l1216,r54,l1319,r55,l1428,r49,l1532,r54,l1635,r55,l1744,r49,l1848,r54,l1951,r55,l2060,r49,l2164,r54,l2267,r55,l2377,r48,l2480,r55,l2583,r55,l2693,r48,l2796,r55,l2899,r55,l3009,r48,l3112,r55,l3215,r55,l3325,r48,l3428,r55,l3531,r55,l3641,r48,l3744,r55,l3847,r55,l3957,r48,l4060,r55,l4163,r55,e" filled="f" strokeweight=".9pt">
                  <v:stroke endcap="round"/>
                  <v:path arrowok="t" o:connecttype="custom" o:connectlocs="34925,0;100330,0;169545,0;235585,0;300990,0;370205,0;436245,0;501650,0;571500,0;636905,0;706120,0;772160,0;837565,0;906780,0;972820,0;1038225,0;1107440,0;1173480,0;1238885,0;1308100,0;1374140,0;1439545,0;1509395,0;1574800,0;1640205,0;1710055,0;1775460,0;1840865,0;1910715,0;1976120,0;2041525,0;2111375,0;2176780,0;2242185,0;2312035,0;2377440,0;2442845,0;2512695,0;2578100,0;2643505,0" o:connectangles="0,0,0,0,0,0,0,0,0,0,0,0,0,0,0,0,0,0,0,0,0,0,0,0,0,0,0,0,0,0,0,0,0,0,0,0,0,0,0,0"/>
                </v:shape>
                <v:rect id="Rectangle 13" o:spid="_x0000_s1036" style="position:absolute;left:95;top:24345;width:1473;height:13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FC79A1" w:rsidRDefault="00FC79A1">
                        <w:r>
                          <w:rPr>
                            <w:rFonts w:ascii="Arial" w:hAnsi="Arial" w:cs="Arial"/>
                            <w:color w:val="000000"/>
                            <w:sz w:val="16"/>
                            <w:szCs w:val="16"/>
                            <w:lang w:val="en-US"/>
                          </w:rPr>
                          <w:t>-10</w:t>
                        </w:r>
                      </w:p>
                    </w:txbxContent>
                  </v:textbox>
                </v:rect>
                <v:rect id="Rectangle 14" o:spid="_x0000_s1037" style="position:absolute;left:666;top:20834;width:908;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FC79A1" w:rsidRDefault="00FC79A1">
                        <w:r>
                          <w:rPr>
                            <w:rFonts w:ascii="Arial" w:hAnsi="Arial" w:cs="Arial"/>
                            <w:color w:val="000000"/>
                            <w:sz w:val="16"/>
                            <w:szCs w:val="16"/>
                            <w:lang w:val="en-US"/>
                          </w:rPr>
                          <w:t>-5</w:t>
                        </w:r>
                      </w:p>
                    </w:txbxContent>
                  </v:textbox>
                </v:rect>
                <v:rect id="Rectangle 15" o:spid="_x0000_s1038" style="position:absolute;left:1009;top:17316;width:565;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FC79A1" w:rsidRDefault="00FC79A1">
                        <w:r>
                          <w:rPr>
                            <w:rFonts w:ascii="Arial" w:hAnsi="Arial" w:cs="Arial"/>
                            <w:color w:val="000000"/>
                            <w:sz w:val="16"/>
                            <w:szCs w:val="16"/>
                            <w:lang w:val="en-US"/>
                          </w:rPr>
                          <w:t>0</w:t>
                        </w:r>
                      </w:p>
                    </w:txbxContent>
                  </v:textbox>
                </v:rect>
                <v:rect id="Rectangle 16" o:spid="_x0000_s1039" style="position:absolute;left:1009;top:13798;width:565;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FC79A1" w:rsidRDefault="00FC79A1">
                        <w:r>
                          <w:rPr>
                            <w:rFonts w:ascii="Arial" w:hAnsi="Arial" w:cs="Arial"/>
                            <w:color w:val="000000"/>
                            <w:sz w:val="16"/>
                            <w:szCs w:val="16"/>
                            <w:lang w:val="en-US"/>
                          </w:rPr>
                          <w:t>5</w:t>
                        </w:r>
                      </w:p>
                    </w:txbxContent>
                  </v:textbox>
                </v:rect>
                <v:rect id="Rectangle 17" o:spid="_x0000_s1040" style="position:absolute;left:438;top:10280;width:1130;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FC79A1" w:rsidRDefault="00FC79A1">
                        <w:r>
                          <w:rPr>
                            <w:rFonts w:ascii="Arial" w:hAnsi="Arial" w:cs="Arial"/>
                            <w:color w:val="000000"/>
                            <w:sz w:val="16"/>
                            <w:szCs w:val="16"/>
                            <w:lang w:val="en-US"/>
                          </w:rPr>
                          <w:t>10</w:t>
                        </w:r>
                      </w:p>
                    </w:txbxContent>
                  </v:textbox>
                </v:rect>
                <v:rect id="Rectangle 18" o:spid="_x0000_s1041" style="position:absolute;left:438;top:6762;width:1130;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FC79A1" w:rsidRDefault="00FC79A1">
                        <w:r>
                          <w:rPr>
                            <w:rFonts w:ascii="Arial" w:hAnsi="Arial" w:cs="Arial"/>
                            <w:color w:val="000000"/>
                            <w:sz w:val="16"/>
                            <w:szCs w:val="16"/>
                            <w:lang w:val="en-US"/>
                          </w:rPr>
                          <w:t>15</w:t>
                        </w:r>
                      </w:p>
                    </w:txbxContent>
                  </v:textbox>
                </v:rect>
                <v:rect id="Rectangle 19" o:spid="_x0000_s1042" style="position:absolute;left:438;top:3251;width:1130;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FC79A1" w:rsidRDefault="00FC79A1">
                        <w:r>
                          <w:rPr>
                            <w:rFonts w:ascii="Arial" w:hAnsi="Arial" w:cs="Arial"/>
                            <w:color w:val="000000"/>
                            <w:sz w:val="16"/>
                            <w:szCs w:val="16"/>
                            <w:lang w:val="en-US"/>
                          </w:rPr>
                          <w:t>20</w:t>
                        </w:r>
                      </w:p>
                    </w:txbxContent>
                  </v:textbox>
                </v:rect>
                <v:rect id="Rectangle 20" o:spid="_x0000_s1043" style="position:absolute;left:863;top:25577;width:3277;height:13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FC79A1" w:rsidRDefault="00FC79A1">
                        <w:r>
                          <w:rPr>
                            <w:rFonts w:ascii="Arial" w:hAnsi="Arial" w:cs="Arial"/>
                            <w:color w:val="000000"/>
                            <w:sz w:val="16"/>
                            <w:szCs w:val="16"/>
                            <w:lang w:val="en-US"/>
                          </w:rPr>
                          <w:t>Dec-99</w:t>
                        </w:r>
                      </w:p>
                    </w:txbxContent>
                  </v:textbox>
                </v:rect>
                <v:rect id="Rectangle 21" o:spid="_x0000_s1044" style="position:absolute;left:7556;top:25577;width:3277;height:13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FC79A1" w:rsidRDefault="00FC79A1">
                        <w:r>
                          <w:rPr>
                            <w:rFonts w:ascii="Arial" w:hAnsi="Arial" w:cs="Arial"/>
                            <w:color w:val="000000"/>
                            <w:sz w:val="16"/>
                            <w:szCs w:val="16"/>
                            <w:lang w:val="en-US"/>
                          </w:rPr>
                          <w:t>Dec-04</w:t>
                        </w:r>
                      </w:p>
                    </w:txbxContent>
                  </v:textbox>
                </v:rect>
                <v:rect id="Rectangle 22" o:spid="_x0000_s1045" style="position:absolute;left:14249;top:25577;width:3277;height:13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FC79A1" w:rsidRDefault="00FC79A1">
                        <w:r>
                          <w:rPr>
                            <w:rFonts w:ascii="Arial" w:hAnsi="Arial" w:cs="Arial"/>
                            <w:color w:val="000000"/>
                            <w:sz w:val="16"/>
                            <w:szCs w:val="16"/>
                            <w:lang w:val="en-US"/>
                          </w:rPr>
                          <w:t>Dec-09</w:t>
                        </w:r>
                      </w:p>
                    </w:txbxContent>
                  </v:textbox>
                </v:rect>
                <v:rect id="Rectangle 23" o:spid="_x0000_s1046" style="position:absolute;left:20942;top:25577;width:3276;height:13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FC79A1" w:rsidRDefault="00FC79A1">
                        <w:r>
                          <w:rPr>
                            <w:rFonts w:ascii="Arial" w:hAnsi="Arial" w:cs="Arial"/>
                            <w:color w:val="000000"/>
                            <w:sz w:val="16"/>
                            <w:szCs w:val="16"/>
                            <w:lang w:val="en-US"/>
                          </w:rPr>
                          <w:t>Dec-14</w:t>
                        </w:r>
                      </w:p>
                    </w:txbxContent>
                  </v:textbox>
                </v:rect>
                <v:rect id="Rectangle 24" o:spid="_x0000_s1047" style="position:absolute;left:27635;top:25577;width:3276;height:13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FC79A1" w:rsidRDefault="00FC79A1">
                        <w:r>
                          <w:rPr>
                            <w:rFonts w:ascii="Arial" w:hAnsi="Arial" w:cs="Arial"/>
                            <w:color w:val="000000"/>
                            <w:sz w:val="16"/>
                            <w:szCs w:val="16"/>
                            <w:lang w:val="en-US"/>
                          </w:rPr>
                          <w:t>Dec-19</w:t>
                        </w:r>
                      </w:p>
                    </w:txbxContent>
                  </v:textbox>
                </v:rect>
                <v:line id="Line 25" o:spid="_x0000_s1048" style="position:absolute;visibility:visible;mso-wrap-style:square" from="3263,6083" to="4229,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" strokecolor="#002060" strokeweight=".9pt">
                  <v:stroke endcap="round"/>
                </v:line>
                <v:rect id="Rectangle 26" o:spid="_x0000_s1049" style="position:absolute;left:4362;top:5499;width:1638;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FC79A1" w:rsidRDefault="00FC79A1">
                        <w:r>
                          <w:rPr>
                            <w:rFonts w:ascii="Arial" w:hAnsi="Arial" w:cs="Arial"/>
                            <w:color w:val="000000"/>
                            <w:sz w:val="16"/>
                            <w:szCs w:val="16"/>
                            <w:lang w:val="en-US"/>
                          </w:rPr>
                          <w:t>WA</w:t>
                        </w:r>
                      </w:p>
                    </w:txbxContent>
                  </v:textbox>
                </v:rect>
                <v:line id="Line 27" o:spid="_x0000_s1050" style="position:absolute;visibility:visible;mso-wrap-style:square" from="6699,6083" to="7658,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" strokecolor="#00b0f0" strokeweight=".9pt">
                  <v:stroke endcap="round"/>
                </v:line>
                <v:rect id="Rectangle 28" o:spid="_x0000_s1051" style="position:absolute;left:7791;top:5499;width:3956;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FC79A1" w:rsidRDefault="00FC79A1">
                        <w:r>
                          <w:rPr>
                            <w:rFonts w:ascii="Arial" w:hAnsi="Arial" w:cs="Arial"/>
                            <w:color w:val="000000"/>
                            <w:sz w:val="16"/>
                            <w:szCs w:val="16"/>
                            <w:lang w:val="en-US"/>
                          </w:rPr>
                          <w:t>Australia</w:t>
                        </w:r>
                      </w:p>
                    </w:txbxContent>
                  </v:textbox>
                </v:rect>
                <v:rect id="Rectangle 29" o:spid="_x0000_s1052" style="position:absolute;left:2451;top:469;width:3556;height:13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FC79A1" w:rsidRDefault="00FC79A1">
                        <w:r>
                          <w:rPr>
                            <w:rFonts w:ascii="Arial" w:hAnsi="Arial" w:cs="Arial"/>
                            <w:b/>
                            <w:bCs/>
                            <w:color w:val="000000"/>
                            <w:sz w:val="16"/>
                            <w:szCs w:val="16"/>
                            <w:lang w:val="en-US"/>
                          </w:rPr>
                          <w:t>CHART</w:t>
                        </w:r>
                      </w:p>
                    </w:txbxContent>
                  </v:textbox>
                </v:rect>
                <v:rect id="Rectangle 30" o:spid="_x0000_s1053" style="position:absolute;left:6350;top:469;width:22186;height:13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FC79A1" w:rsidRDefault="00FC79A1">
                        <w:r>
                          <w:rPr>
                            <w:rFonts w:ascii="Arial" w:hAnsi="Arial" w:cs="Arial"/>
                            <w:b/>
                            <w:bCs/>
                            <w:color w:val="000000"/>
                            <w:sz w:val="16"/>
                            <w:szCs w:val="16"/>
                            <w:lang w:val="en-US"/>
                          </w:rPr>
                          <w:t xml:space="preserve">1: FINAL DEMAND, SEASONALLY ADJUSTED </w:t>
                        </w:r>
                      </w:p>
                    </w:txbxContent>
                  </v:textbox>
                </v:rect>
                <v:rect id="Rectangle 31" o:spid="_x0000_s1054" style="position:absolute;left:10483;top:1701;width:10789;height:13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FC79A1" w:rsidRDefault="00FC79A1">
                        <w:r>
                          <w:rPr>
                            <w:rFonts w:ascii="Arial" w:hAnsi="Arial" w:cs="Arial"/>
                            <w:color w:val="000000"/>
                            <w:sz w:val="16"/>
                            <w:szCs w:val="16"/>
                            <w:lang w:val="en-US"/>
                          </w:rPr>
                          <w:t>Annual Average Growth</w:t>
                        </w:r>
                      </w:p>
                    </w:txbxContent>
                  </v:textbox>
                </v:rect>
                <v:rect id="Rectangle 32" o:spid="_x0000_s1055" style="position:absolute;left:2540;top:2647;width:908;height:13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FC79A1" w:rsidRDefault="00FC79A1">
                        <w:r>
                          <w:rPr>
                            <w:rFonts w:ascii="Arial" w:hAnsi="Arial" w:cs="Arial"/>
                            <w:color w:val="000000"/>
                            <w:sz w:val="16"/>
                            <w:szCs w:val="16"/>
                            <w:lang w:val="en-US"/>
                          </w:rPr>
                          <w:t>%</w:t>
                        </w:r>
                      </w:p>
                    </w:txbxContent>
                  </v:textbox>
                </v:rect>
                <v:rect id="Rectangle 33" o:spid="_x0000_s1056" style="position:absolute;left:22796;top:8661;width:3054;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FC79A1" w:rsidRDefault="00FC79A1">
                        <w:r>
                          <w:rPr>
                            <w:rFonts w:ascii="Arial" w:hAnsi="Arial" w:cs="Arial"/>
                            <w:color w:val="000000"/>
                            <w:sz w:val="16"/>
                            <w:szCs w:val="16"/>
                            <w:lang w:val="en-US"/>
                          </w:rPr>
                          <w:t>WA 20</w:t>
                        </w:r>
                      </w:p>
                    </w:txbxContent>
                  </v:textbox>
                </v:rect>
                <v:rect id="Rectangle 34" o:spid="_x0000_s1057" style="position:absolute;left:25920;top:8661;width:343;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FC79A1" w:rsidRDefault="00FC79A1">
                        <w:r>
                          <w:rPr>
                            <w:rFonts w:ascii="Arial" w:hAnsi="Arial" w:cs="Arial"/>
                            <w:color w:val="000000"/>
                            <w:sz w:val="16"/>
                            <w:szCs w:val="16"/>
                            <w:lang w:val="en-US"/>
                          </w:rPr>
                          <w:t>-</w:t>
                        </w:r>
                      </w:p>
                    </w:txbxContent>
                  </v:textbox>
                </v:rect>
                <v:rect id="Rectangle 35" o:spid="_x0000_s1058" style="position:absolute;left:26269;top:8661;width:1982;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FC79A1" w:rsidRDefault="00FC79A1">
                        <w:r>
                          <w:rPr>
                            <w:rFonts w:ascii="Arial" w:hAnsi="Arial" w:cs="Arial"/>
                            <w:color w:val="000000"/>
                            <w:sz w:val="16"/>
                            <w:szCs w:val="16"/>
                            <w:lang w:val="en-US"/>
                          </w:rPr>
                          <w:t xml:space="preserve">year </w:t>
                        </w:r>
                      </w:p>
                    </w:txbxContent>
                  </v:textbox>
                </v:rect>
                <v:rect id="Rectangle 36" o:spid="_x0000_s1059" style="position:absolute;left:22796;top:9855;width:6274;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FC79A1" w:rsidRDefault="00FC79A1">
                        <w:r>
                          <w:rPr>
                            <w:rFonts w:ascii="Arial" w:hAnsi="Arial" w:cs="Arial"/>
                            <w:color w:val="000000"/>
                            <w:sz w:val="16"/>
                            <w:szCs w:val="16"/>
                            <w:lang w:val="en-US"/>
                          </w:rPr>
                          <w:t>average 3.6%</w:t>
                        </w:r>
                      </w:p>
                    </w:txbxContent>
                  </v:textbox>
                </v:rect>
                <v:shape id="Freeform 37" o:spid="_x0000_s1060" style="position:absolute;left:25768;top:11430;width:305;height:3441;visibility:visible;mso-wrap-style:square;v-text-anchor:top" coordsize="4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" path="m26,r4,502l18,502,14,,26,xm48,493l24,542,,494r48,-1xe" fillcolor="black" strokeweight="0">
                  <v:path arrowok="t" o:connecttype="custom" o:connectlocs="16510,0;19050,318770;11430,318770;8890,0;16510,0;30480,313055;15240,344170;0,313690;30480,313055" o:connectangles="0,0,0,0,0,0,0,0,0"/>
                  <o:lock v:ext="edit" verticies="t"/>
                </v:shape>
              </v:group>
            </w:pict>
          </mc:Fallback>
        </mc:AlternateContent>
      </w:r>
    </w:p>
    <w:p w:rsidR="00FC79A1" w:rsidRDefault="00FC79A1" w:rsidP="00E82159">
      <w:pPr>
        <w:spacing w:line="240" w:lineRule="auto"/>
        <w:jc w:val="both"/>
        <w:rPr>
          <w:rFonts w:ascii="Arial" w:hAnsi="Arial" w:cs="Arial"/>
          <w:spacing w:val="-2"/>
          <w:lang w:eastAsia="en-AU"/>
        </w:rPr>
        <w:sectPr w:rsidR="00FC79A1" w:rsidSect="00E82159">
          <w:headerReference w:type="even" r:id="rId30"/>
          <w:headerReference w:type="default" r:id="rId31"/>
          <w:footerReference w:type="even" r:id="rId32"/>
          <w:footerReference w:type="default" r:id="rId33"/>
          <w:headerReference w:type="first" r:id="rId34"/>
          <w:footerReference w:type="first" r:id="rId35"/>
          <w:pgSz w:w="11907" w:h="16840" w:code="9"/>
          <w:pgMar w:top="1135" w:right="1304" w:bottom="709" w:left="1304" w:header="709" w:footer="709" w:gutter="0"/>
          <w:cols w:space="708"/>
          <w:docGrid w:linePitch="360"/>
        </w:sectPr>
      </w:pPr>
    </w:p>
    <w:p w:rsidR="00E82159" w:rsidRPr="007F1E50" w:rsidRDefault="00E82159" w:rsidP="00E82159">
      <w:pPr>
        <w:spacing w:line="240" w:lineRule="auto"/>
        <w:jc w:val="both"/>
        <w:rPr>
          <w:rFonts w:ascii="Arial" w:hAnsi="Arial" w:cs="Arial"/>
          <w:spacing w:val="-2"/>
          <w:lang w:eastAsia="en-AU"/>
        </w:rPr>
      </w:pPr>
      <w:r w:rsidRPr="007F1E50">
        <w:rPr>
          <w:rFonts w:ascii="Arial" w:hAnsi="Arial" w:cs="Arial"/>
          <w:spacing w:val="-2"/>
          <w:lang w:eastAsia="en-AU"/>
        </w:rPr>
        <w:t xml:space="preserve">Recent data to December 2019 indicates that SFD grew by 0.4% in 2019, recovering from a decline of 0.9% in 2018-19. </w:t>
      </w:r>
    </w:p>
    <w:p w:rsidR="00E82159" w:rsidRPr="007F1E50" w:rsidRDefault="00E82159" w:rsidP="00E82159">
      <w:pPr>
        <w:spacing w:line="240" w:lineRule="auto"/>
        <w:jc w:val="both"/>
        <w:rPr>
          <w:rFonts w:ascii="Arial" w:hAnsi="Arial" w:cs="Arial"/>
          <w:spacing w:val="-2"/>
          <w:lang w:eastAsia="en-AU"/>
        </w:rPr>
      </w:pPr>
    </w:p>
    <w:p w:rsidR="00E82159" w:rsidRPr="007F1E50" w:rsidRDefault="00E82159" w:rsidP="00E82159">
      <w:pPr>
        <w:spacing w:line="240" w:lineRule="auto"/>
        <w:jc w:val="both"/>
        <w:rPr>
          <w:rFonts w:ascii="Arial" w:hAnsi="Arial" w:cs="Arial"/>
          <w:spacing w:val="-2"/>
          <w:lang w:eastAsia="en-AU"/>
        </w:rPr>
      </w:pPr>
      <w:r w:rsidRPr="007F1E50">
        <w:rPr>
          <w:rFonts w:ascii="Arial" w:hAnsi="Arial" w:cs="Arial"/>
          <w:spacing w:val="-2"/>
          <w:lang w:eastAsia="en-AU"/>
        </w:rPr>
        <w:t>As Chart 1 illustrates, domestic economic conditions are converging with national, where activity ha</w:t>
      </w:r>
      <w:r>
        <w:rPr>
          <w:rFonts w:ascii="Arial" w:hAnsi="Arial" w:cs="Arial"/>
          <w:spacing w:val="-2"/>
          <w:lang w:eastAsia="en-AU"/>
        </w:rPr>
        <w:t>s</w:t>
      </w:r>
      <w:r w:rsidRPr="007F1E50">
        <w:rPr>
          <w:rFonts w:ascii="Arial" w:hAnsi="Arial" w:cs="Arial"/>
          <w:spacing w:val="-2"/>
          <w:lang w:eastAsia="en-AU"/>
        </w:rPr>
        <w:t xml:space="preserve"> slowed recently. </w:t>
      </w:r>
    </w:p>
    <w:p w:rsidR="00E82159" w:rsidRPr="007F1E50" w:rsidRDefault="00E82159" w:rsidP="00E82159">
      <w:pPr>
        <w:spacing w:line="240" w:lineRule="auto"/>
        <w:jc w:val="both"/>
        <w:rPr>
          <w:rFonts w:ascii="Arial" w:hAnsi="Arial" w:cs="Arial"/>
          <w:spacing w:val="-2"/>
          <w:lang w:eastAsia="en-AU"/>
        </w:rPr>
      </w:pPr>
    </w:p>
    <w:p w:rsidR="00FC79A1" w:rsidRPr="007F1E50" w:rsidRDefault="00FC79A1" w:rsidP="00FC79A1">
      <w:pPr>
        <w:spacing w:line="240" w:lineRule="auto"/>
        <w:jc w:val="both"/>
        <w:rPr>
          <w:rFonts w:ascii="Arial" w:hAnsi="Arial" w:cs="Arial"/>
          <w:spacing w:val="-2"/>
          <w:lang w:eastAsia="en-AU"/>
        </w:rPr>
      </w:pPr>
      <w:r w:rsidRPr="007F1E50">
        <w:rPr>
          <w:rFonts w:ascii="Arial" w:hAnsi="Arial" w:cs="Arial"/>
          <w:spacing w:val="-2"/>
          <w:lang w:eastAsia="en-AU"/>
        </w:rPr>
        <w:t xml:space="preserve">Western Australia’s annual SFD growth is expected to strengthen further to 2.25% by the end of 2019-20, boosted by a return to growth in business investment for the first time in seven years. </w:t>
      </w:r>
    </w:p>
    <w:p w:rsidR="00FC79A1" w:rsidRDefault="00FC79A1" w:rsidP="00E82159">
      <w:pPr>
        <w:spacing w:line="240" w:lineRule="auto"/>
        <w:jc w:val="both"/>
        <w:rPr>
          <w:rFonts w:ascii="Arial" w:hAnsi="Arial" w:cs="Arial"/>
          <w:spacing w:val="-2"/>
          <w:lang w:eastAsia="en-AU"/>
        </w:rPr>
      </w:pPr>
    </w:p>
    <w:p w:rsidR="00FC79A1" w:rsidRDefault="00FC79A1" w:rsidP="00E82159">
      <w:pPr>
        <w:spacing w:line="240" w:lineRule="auto"/>
        <w:jc w:val="both"/>
        <w:rPr>
          <w:rFonts w:ascii="Arial" w:hAnsi="Arial" w:cs="Arial"/>
          <w:spacing w:val="-2"/>
          <w:lang w:eastAsia="en-AU"/>
        </w:rPr>
      </w:pPr>
    </w:p>
    <w:p w:rsidR="00FC79A1" w:rsidRDefault="00FC79A1" w:rsidP="00E82159">
      <w:pPr>
        <w:spacing w:line="240" w:lineRule="auto"/>
        <w:jc w:val="both"/>
        <w:rPr>
          <w:rFonts w:ascii="Arial" w:hAnsi="Arial" w:cs="Arial"/>
          <w:spacing w:val="-2"/>
          <w:lang w:eastAsia="en-AU"/>
        </w:rPr>
      </w:pPr>
    </w:p>
    <w:p w:rsidR="00FC79A1" w:rsidRDefault="00FC79A1" w:rsidP="00E82159">
      <w:pPr>
        <w:spacing w:line="240" w:lineRule="auto"/>
        <w:jc w:val="both"/>
        <w:rPr>
          <w:rFonts w:ascii="Arial" w:hAnsi="Arial" w:cs="Arial"/>
          <w:spacing w:val="-2"/>
          <w:lang w:eastAsia="en-AU"/>
        </w:rPr>
      </w:pPr>
    </w:p>
    <w:p w:rsidR="00FC79A1" w:rsidRDefault="00FC79A1" w:rsidP="00E82159">
      <w:pPr>
        <w:spacing w:line="240" w:lineRule="auto"/>
        <w:jc w:val="both"/>
        <w:rPr>
          <w:rFonts w:ascii="Arial" w:hAnsi="Arial" w:cs="Arial"/>
          <w:spacing w:val="-2"/>
          <w:lang w:eastAsia="en-AU"/>
        </w:rPr>
      </w:pPr>
    </w:p>
    <w:p w:rsidR="00FC79A1" w:rsidRDefault="00FC79A1" w:rsidP="00E82159">
      <w:pPr>
        <w:spacing w:line="240" w:lineRule="auto"/>
        <w:jc w:val="both"/>
        <w:rPr>
          <w:rFonts w:ascii="Arial" w:hAnsi="Arial" w:cs="Arial"/>
          <w:spacing w:val="-2"/>
          <w:lang w:eastAsia="en-AU"/>
        </w:rPr>
      </w:pPr>
    </w:p>
    <w:p w:rsidR="00FC79A1" w:rsidRDefault="00FC79A1" w:rsidP="00E82159">
      <w:pPr>
        <w:spacing w:line="240" w:lineRule="auto"/>
        <w:jc w:val="both"/>
        <w:rPr>
          <w:rFonts w:ascii="Arial" w:hAnsi="Arial" w:cs="Arial"/>
          <w:spacing w:val="-2"/>
          <w:lang w:eastAsia="en-AU"/>
        </w:rPr>
      </w:pPr>
    </w:p>
    <w:p w:rsidR="00FC79A1" w:rsidRDefault="00FC79A1" w:rsidP="00E82159">
      <w:pPr>
        <w:spacing w:line="240" w:lineRule="auto"/>
        <w:jc w:val="both"/>
        <w:rPr>
          <w:rFonts w:ascii="Arial" w:hAnsi="Arial" w:cs="Arial"/>
          <w:spacing w:val="-2"/>
          <w:lang w:eastAsia="en-AU"/>
        </w:rPr>
      </w:pPr>
    </w:p>
    <w:p w:rsidR="00FC79A1" w:rsidRDefault="00FC79A1" w:rsidP="00E82159">
      <w:pPr>
        <w:spacing w:line="240" w:lineRule="auto"/>
        <w:jc w:val="both"/>
        <w:rPr>
          <w:rFonts w:ascii="Arial" w:hAnsi="Arial" w:cs="Arial"/>
          <w:spacing w:val="-2"/>
          <w:lang w:eastAsia="en-AU"/>
        </w:rPr>
      </w:pPr>
    </w:p>
    <w:p w:rsidR="00FC79A1" w:rsidRDefault="00FC79A1" w:rsidP="00E82159">
      <w:pPr>
        <w:spacing w:line="240" w:lineRule="auto"/>
        <w:jc w:val="both"/>
        <w:rPr>
          <w:rFonts w:ascii="Arial" w:hAnsi="Arial" w:cs="Arial"/>
          <w:spacing w:val="-2"/>
          <w:lang w:eastAsia="en-AU"/>
        </w:rPr>
      </w:pPr>
    </w:p>
    <w:p w:rsidR="00FC79A1" w:rsidRDefault="00FC79A1" w:rsidP="00E82159">
      <w:pPr>
        <w:spacing w:line="240" w:lineRule="auto"/>
        <w:jc w:val="both"/>
        <w:rPr>
          <w:rFonts w:ascii="Arial" w:hAnsi="Arial" w:cs="Arial"/>
          <w:spacing w:val="-2"/>
          <w:lang w:eastAsia="en-AU"/>
        </w:rPr>
      </w:pPr>
    </w:p>
    <w:p w:rsidR="00FC79A1" w:rsidRDefault="00FC79A1" w:rsidP="00E82159">
      <w:pPr>
        <w:spacing w:line="240" w:lineRule="auto"/>
        <w:jc w:val="both"/>
        <w:rPr>
          <w:rFonts w:ascii="Arial" w:hAnsi="Arial" w:cs="Arial"/>
          <w:spacing w:val="-2"/>
          <w:lang w:eastAsia="en-AU"/>
        </w:rPr>
      </w:pPr>
    </w:p>
    <w:p w:rsidR="00FC79A1" w:rsidRDefault="00FC79A1" w:rsidP="00E82159">
      <w:pPr>
        <w:spacing w:line="240" w:lineRule="auto"/>
        <w:jc w:val="both"/>
        <w:rPr>
          <w:rFonts w:ascii="Arial" w:hAnsi="Arial" w:cs="Arial"/>
          <w:spacing w:val="-2"/>
          <w:lang w:eastAsia="en-AU"/>
        </w:rPr>
      </w:pPr>
    </w:p>
    <w:p w:rsidR="00FC79A1" w:rsidRDefault="00FC79A1" w:rsidP="00E82159">
      <w:pPr>
        <w:spacing w:line="240" w:lineRule="auto"/>
        <w:jc w:val="both"/>
        <w:rPr>
          <w:rFonts w:ascii="Arial" w:hAnsi="Arial" w:cs="Arial"/>
          <w:spacing w:val="-2"/>
          <w:lang w:eastAsia="en-AU"/>
        </w:rPr>
      </w:pPr>
    </w:p>
    <w:p w:rsidR="00FC79A1" w:rsidRDefault="00FC79A1" w:rsidP="00E82159">
      <w:pPr>
        <w:spacing w:line="240" w:lineRule="auto"/>
        <w:jc w:val="both"/>
        <w:rPr>
          <w:rFonts w:ascii="Arial" w:hAnsi="Arial" w:cs="Arial"/>
          <w:spacing w:val="-2"/>
          <w:lang w:eastAsia="en-AU"/>
        </w:rPr>
        <w:sectPr w:rsidR="00FC79A1" w:rsidSect="00FC79A1">
          <w:type w:val="continuous"/>
          <w:pgSz w:w="11907" w:h="16840" w:code="9"/>
          <w:pgMar w:top="1135" w:right="1304" w:bottom="709" w:left="1304" w:header="709" w:footer="709" w:gutter="0"/>
          <w:cols w:num="2" w:space="708"/>
          <w:docGrid w:linePitch="360"/>
        </w:sectPr>
      </w:pPr>
    </w:p>
    <w:p w:rsidR="00E82159" w:rsidRPr="007F1E50" w:rsidRDefault="00E82159" w:rsidP="00E82159">
      <w:pPr>
        <w:spacing w:line="240" w:lineRule="auto"/>
        <w:jc w:val="both"/>
        <w:rPr>
          <w:rFonts w:ascii="Arial" w:hAnsi="Arial" w:cs="Arial"/>
          <w:spacing w:val="-2"/>
          <w:lang w:eastAsia="en-AU"/>
        </w:rPr>
      </w:pPr>
    </w:p>
    <w:p w:rsidR="00E82159" w:rsidRPr="007F1E50" w:rsidRDefault="00E82159" w:rsidP="00E82159">
      <w:pPr>
        <w:spacing w:line="240" w:lineRule="auto"/>
        <w:jc w:val="both"/>
        <w:rPr>
          <w:rFonts w:ascii="Arial" w:hAnsi="Arial" w:cs="Arial"/>
          <w:spacing w:val="-2"/>
          <w:lang w:eastAsia="en-AU"/>
        </w:rPr>
      </w:pPr>
      <w:r w:rsidRPr="007F1E50">
        <w:rPr>
          <w:rFonts w:ascii="Arial" w:hAnsi="Arial" w:cs="Arial"/>
          <w:spacing w:val="-2"/>
          <w:lang w:eastAsia="en-AU"/>
        </w:rPr>
        <w:t>However, based on the latest SFD data for the December quarter 2019, there is downside risk to achieving the Mid-year Review growth forecast for the domestic economy in 2019</w:t>
      </w:r>
      <w:r w:rsidRPr="007F1E50">
        <w:rPr>
          <w:rFonts w:ascii="Arial" w:hAnsi="Arial" w:cs="Arial"/>
          <w:spacing w:val="-2"/>
          <w:lang w:eastAsia="en-AU"/>
        </w:rPr>
        <w:noBreakHyphen/>
        <w:t xml:space="preserve">20 (2.25%), with dwelling investment tracking significantly below the Mid-year Review forecast decline of 7%. This is even before taking into account any impact arising from the coronavirus outbreak. </w:t>
      </w:r>
    </w:p>
    <w:p w:rsidR="00E82159" w:rsidRPr="007F1E50" w:rsidRDefault="00E82159" w:rsidP="00E82159">
      <w:pPr>
        <w:spacing w:line="240" w:lineRule="auto"/>
        <w:jc w:val="both"/>
        <w:rPr>
          <w:rFonts w:ascii="Arial" w:hAnsi="Arial" w:cs="Arial"/>
          <w:spacing w:val="-2"/>
          <w:lang w:eastAsia="en-AU"/>
        </w:rPr>
      </w:pPr>
    </w:p>
    <w:p w:rsidR="00E82159" w:rsidRPr="007F1E50" w:rsidRDefault="00E82159" w:rsidP="00E82159">
      <w:pPr>
        <w:spacing w:line="240" w:lineRule="auto"/>
        <w:jc w:val="both"/>
        <w:rPr>
          <w:rFonts w:ascii="Arial" w:hAnsi="Arial" w:cs="Arial"/>
          <w:spacing w:val="-2"/>
          <w:lang w:eastAsia="en-AU"/>
        </w:rPr>
      </w:pPr>
      <w:r w:rsidRPr="007F1E50">
        <w:rPr>
          <w:rFonts w:ascii="Arial" w:hAnsi="Arial" w:cs="Arial"/>
          <w:spacing w:val="-2"/>
          <w:lang w:eastAsia="en-AU"/>
        </w:rPr>
        <w:t xml:space="preserve">It is important to note that SFD is not a comprehensive measure of the State’s overall economic growth, as it does not include the external trade sector. For a State such as Western Australia, the external trade sector is an important driver of income and therefore growth. Given the State’s strong international trade linkages, GSP is a better measure of overall economic activity (as it also includes the State’s external trade sector).  </w:t>
      </w:r>
    </w:p>
    <w:p w:rsidR="00E82159" w:rsidRPr="007F1E50" w:rsidRDefault="00E82159" w:rsidP="00E82159">
      <w:pPr>
        <w:spacing w:line="240" w:lineRule="auto"/>
        <w:jc w:val="both"/>
        <w:rPr>
          <w:rFonts w:ascii="Arial" w:hAnsi="Arial" w:cs="Arial"/>
          <w:spacing w:val="-2"/>
          <w:lang w:eastAsia="en-AU"/>
        </w:rPr>
      </w:pPr>
    </w:p>
    <w:p w:rsidR="00E82159" w:rsidRPr="007F1E50" w:rsidRDefault="00E82159" w:rsidP="00E82159">
      <w:pPr>
        <w:spacing w:line="240" w:lineRule="auto"/>
        <w:jc w:val="both"/>
        <w:rPr>
          <w:rFonts w:ascii="Arial" w:hAnsi="Arial" w:cs="Arial"/>
          <w:spacing w:val="-2"/>
          <w:lang w:eastAsia="en-AU"/>
        </w:rPr>
      </w:pPr>
      <w:r w:rsidRPr="007F1E50">
        <w:rPr>
          <w:rFonts w:ascii="Arial" w:hAnsi="Arial" w:cs="Arial"/>
          <w:spacing w:val="-2"/>
          <w:lang w:eastAsia="en-AU"/>
        </w:rPr>
        <w:t>Notwithstanding this, trends in domestic demand tend to have a strong influence on labour market conditions, particularly as the investment phase of activity tends to be more labour intensive than the production phase.</w:t>
      </w:r>
    </w:p>
    <w:p w:rsidR="00E82159" w:rsidRPr="007F1E50" w:rsidRDefault="00E82159" w:rsidP="00E82159">
      <w:pPr>
        <w:spacing w:line="240" w:lineRule="auto"/>
        <w:jc w:val="both"/>
        <w:rPr>
          <w:rFonts w:ascii="Arial" w:hAnsi="Arial" w:cs="Arial"/>
          <w:spacing w:val="-2"/>
          <w:lang w:eastAsia="en-AU"/>
        </w:rPr>
      </w:pPr>
    </w:p>
    <w:p w:rsidR="00E82159" w:rsidRPr="007F1E50" w:rsidRDefault="00E82159" w:rsidP="00E82159">
      <w:pPr>
        <w:spacing w:line="240" w:lineRule="auto"/>
        <w:jc w:val="center"/>
        <w:rPr>
          <w:rFonts w:ascii="Arial" w:hAnsi="Arial" w:cs="Arial"/>
          <w:spacing w:val="-2"/>
          <w:lang w:eastAsia="en-AU"/>
        </w:rPr>
      </w:pPr>
      <w:r w:rsidRPr="007F1E50">
        <w:rPr>
          <w:rFonts w:eastAsiaTheme="minorHAnsi"/>
          <w:noProof/>
          <w:sz w:val="22"/>
          <w:szCs w:val="22"/>
          <w:lang w:eastAsia="en-AU"/>
        </w:rPr>
        <w:drawing>
          <wp:inline distT="0" distB="0" distL="0" distR="0" wp14:anchorId="2532FEF0" wp14:editId="306AFE27">
            <wp:extent cx="4000500" cy="2324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00500" cy="2324100"/>
                    </a:xfrm>
                    <a:prstGeom prst="rect">
                      <a:avLst/>
                    </a:prstGeom>
                    <a:noFill/>
                    <a:ln>
                      <a:noFill/>
                    </a:ln>
                  </pic:spPr>
                </pic:pic>
              </a:graphicData>
            </a:graphic>
          </wp:inline>
        </w:drawing>
      </w:r>
    </w:p>
    <w:p w:rsidR="00E82159" w:rsidRPr="007F1E50" w:rsidRDefault="00E82159" w:rsidP="00E82159">
      <w:pPr>
        <w:keepNext/>
        <w:spacing w:before="240" w:after="60" w:line="360" w:lineRule="auto"/>
        <w:jc w:val="both"/>
        <w:outlineLvl w:val="0"/>
        <w:rPr>
          <w:rFonts w:ascii="Arial" w:hAnsi="Arial" w:cs="Arial"/>
          <w:b/>
          <w:bCs/>
          <w:kern w:val="32"/>
          <w:sz w:val="32"/>
          <w:szCs w:val="32"/>
          <w:lang w:val="en-GB"/>
        </w:rPr>
      </w:pPr>
      <w:r w:rsidRPr="007F1E50">
        <w:rPr>
          <w:rFonts w:ascii="Arial" w:hAnsi="Arial" w:cs="Arial"/>
          <w:b/>
          <w:bCs/>
          <w:kern w:val="32"/>
          <w:sz w:val="32"/>
          <w:szCs w:val="32"/>
          <w:lang w:val="en-GB"/>
        </w:rPr>
        <w:t>CONSUMER PRICE INDEX</w:t>
      </w:r>
    </w:p>
    <w:p w:rsidR="00E82159" w:rsidRPr="007F1E50" w:rsidRDefault="00E82159" w:rsidP="00E82159">
      <w:pPr>
        <w:spacing w:before="100" w:beforeAutospacing="1" w:after="100" w:afterAutospacing="1" w:line="240" w:lineRule="auto"/>
        <w:jc w:val="both"/>
        <w:outlineLvl w:val="1"/>
        <w:rPr>
          <w:rFonts w:ascii="Arial" w:hAnsi="Arial" w:cs="Times New Roman"/>
          <w:b/>
          <w:bCs/>
          <w:i/>
          <w:szCs w:val="34"/>
          <w:lang w:eastAsia="en-AU"/>
        </w:rPr>
      </w:pPr>
      <w:r w:rsidRPr="007F1E50">
        <w:rPr>
          <w:rFonts w:ascii="Arial" w:hAnsi="Arial" w:cs="Times New Roman"/>
          <w:b/>
          <w:bCs/>
          <w:i/>
          <w:szCs w:val="34"/>
          <w:lang w:eastAsia="en-AU"/>
        </w:rPr>
        <w:t>Current Inflation Trends</w:t>
      </w:r>
    </w:p>
    <w:p w:rsidR="00E82159" w:rsidRPr="007F1E50" w:rsidRDefault="00E82159" w:rsidP="00E82159">
      <w:pPr>
        <w:spacing w:line="240" w:lineRule="auto"/>
        <w:jc w:val="both"/>
        <w:rPr>
          <w:rFonts w:ascii="Arial" w:hAnsi="Arial" w:cs="Arial"/>
          <w:spacing w:val="-2"/>
          <w:highlight w:val="yellow"/>
          <w:lang w:eastAsia="en-AU"/>
        </w:rPr>
      </w:pPr>
      <w:r w:rsidRPr="007F1E50">
        <w:rPr>
          <w:rFonts w:ascii="Arial" w:hAnsi="Arial" w:cs="Arial"/>
          <w:spacing w:val="-2"/>
          <w:lang w:eastAsia="en-AU"/>
        </w:rPr>
        <w:t xml:space="preserve">Perth’s Consumer Price Index (CPI) grew by 0.4% in the December quarter 2019. The main contributors to the quarterly increase were ‘tobacco’, ‘food and non-alcoholic beverages’ and ‘automotive fuel’. </w:t>
      </w:r>
    </w:p>
    <w:p w:rsidR="00E82159" w:rsidRPr="007F1E50" w:rsidRDefault="00E82159" w:rsidP="00E82159">
      <w:pPr>
        <w:spacing w:line="240" w:lineRule="auto"/>
        <w:jc w:val="both"/>
        <w:rPr>
          <w:rFonts w:ascii="Arial" w:hAnsi="Arial" w:cs="Arial"/>
          <w:spacing w:val="-2"/>
          <w:highlight w:val="yellow"/>
          <w:lang w:eastAsia="en-AU"/>
        </w:rPr>
      </w:pPr>
    </w:p>
    <w:p w:rsidR="00E82159" w:rsidRPr="007F1E50" w:rsidRDefault="00E82159" w:rsidP="00E82159">
      <w:pPr>
        <w:spacing w:line="240" w:lineRule="auto"/>
        <w:jc w:val="both"/>
        <w:rPr>
          <w:rFonts w:ascii="Arial" w:hAnsi="Arial" w:cs="Arial"/>
          <w:spacing w:val="-2"/>
          <w:lang w:eastAsia="en-AU"/>
        </w:rPr>
      </w:pPr>
      <w:r w:rsidRPr="007F1E50">
        <w:rPr>
          <w:rFonts w:ascii="Arial" w:hAnsi="Arial" w:cs="Arial"/>
          <w:spacing w:val="-2"/>
          <w:lang w:eastAsia="en-AU"/>
        </w:rPr>
        <w:t>Perth’s annual inflation rate increased by 1.5% in 2019, up from 1.3% in 2018-19. This is the strongest rate of annual growth since 2014-15 but remains well below the 20</w:t>
      </w:r>
      <w:r w:rsidRPr="007F1E50">
        <w:rPr>
          <w:rFonts w:ascii="Arial" w:hAnsi="Arial" w:cs="Arial"/>
          <w:spacing w:val="-2"/>
          <w:lang w:eastAsia="en-AU"/>
        </w:rPr>
        <w:noBreakHyphen/>
        <w:t xml:space="preserve">year average growth rate of 2.6% per annum. </w:t>
      </w:r>
    </w:p>
    <w:p w:rsidR="00E82159" w:rsidRPr="007F1E50" w:rsidRDefault="00FC79A1" w:rsidP="00E82159">
      <w:pPr>
        <w:spacing w:line="240" w:lineRule="auto"/>
        <w:jc w:val="both"/>
        <w:rPr>
          <w:rFonts w:ascii="Arial" w:hAnsi="Arial" w:cs="Arial"/>
          <w:spacing w:val="-2"/>
          <w:lang w:eastAsia="en-AU"/>
        </w:rPr>
      </w:pPr>
      <w:r w:rsidRPr="007F1E50">
        <w:rPr>
          <w:rFonts w:eastAsiaTheme="minorHAnsi"/>
          <w:noProof/>
          <w:sz w:val="22"/>
          <w:szCs w:val="22"/>
          <w:lang w:eastAsia="en-AU"/>
        </w:rPr>
        <w:drawing>
          <wp:anchor distT="0" distB="0" distL="114300" distR="114300" simplePos="0" relativeHeight="251656192" behindDoc="0" locked="0" layoutInCell="1" allowOverlap="1" wp14:anchorId="13A4E427" wp14:editId="37D178AC">
            <wp:simplePos x="0" y="0"/>
            <wp:positionH relativeFrom="column">
              <wp:posOffset>-1905</wp:posOffset>
            </wp:positionH>
            <wp:positionV relativeFrom="paragraph">
              <wp:posOffset>174625</wp:posOffset>
            </wp:positionV>
            <wp:extent cx="2527300" cy="2203450"/>
            <wp:effectExtent l="0" t="0" r="6350" b="6350"/>
            <wp:wrapThrough wrapText="bothSides">
              <wp:wrapPolygon edited="0">
                <wp:start x="0" y="0"/>
                <wp:lineTo x="0" y="21476"/>
                <wp:lineTo x="21491" y="21476"/>
                <wp:lineTo x="2149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27300" cy="220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159" w:rsidRPr="007F1E50" w:rsidRDefault="00E82159" w:rsidP="00E82159">
      <w:pPr>
        <w:spacing w:line="240" w:lineRule="auto"/>
        <w:jc w:val="both"/>
        <w:rPr>
          <w:rFonts w:ascii="Arial" w:hAnsi="Arial" w:cs="Arial"/>
          <w:spacing w:val="-2"/>
          <w:highlight w:val="yellow"/>
          <w:lang w:eastAsia="en-AU"/>
        </w:rPr>
      </w:pPr>
      <w:r w:rsidRPr="007F1E50">
        <w:rPr>
          <w:rFonts w:ascii="Arial" w:hAnsi="Arial" w:cs="Arial"/>
          <w:spacing w:val="-2"/>
          <w:lang w:eastAsia="en-AU"/>
        </w:rPr>
        <w:t>The fall in Perth’s housing-related prices has been the primary reason why Perth and National CPI have diverged in recent years. For example, the rent component of Perth’s CPI has declined in annual terms for the past 18 quarters. However, this gap has lessened recently (Chart 2), as slowing housing markets in the Eastern States have started weighing on national inflation, whilst weakness in the Western Australian housing market has lessened. Indeed, deflation from the new dwelling purchases component has now ceased.</w:t>
      </w:r>
    </w:p>
    <w:p w:rsidR="00E82159" w:rsidRPr="007F1E50" w:rsidRDefault="00E82159" w:rsidP="00E82159">
      <w:pPr>
        <w:spacing w:line="240" w:lineRule="auto"/>
        <w:jc w:val="both"/>
        <w:rPr>
          <w:rFonts w:ascii="Arial" w:hAnsi="Arial" w:cs="Arial"/>
          <w:spacing w:val="-2"/>
          <w:highlight w:val="yellow"/>
          <w:lang w:eastAsia="en-AU"/>
        </w:rPr>
      </w:pPr>
    </w:p>
    <w:p w:rsidR="00E82159" w:rsidRDefault="00E82159" w:rsidP="00E82159">
      <w:pPr>
        <w:spacing w:line="240" w:lineRule="auto"/>
        <w:jc w:val="both"/>
        <w:rPr>
          <w:rFonts w:ascii="Arial" w:hAnsi="Arial" w:cs="Arial"/>
          <w:spacing w:val="-2"/>
          <w:lang w:eastAsia="en-AU"/>
        </w:rPr>
      </w:pPr>
      <w:r w:rsidRPr="007F1E50">
        <w:rPr>
          <w:rFonts w:ascii="Arial" w:hAnsi="Arial" w:cs="Arial"/>
          <w:spacing w:val="-2"/>
          <w:lang w:eastAsia="en-AU"/>
        </w:rPr>
        <w:t>While the gap between national and Perth inflation has narrowed, inflation in Perth remains below the national rate of 1.6% in annu</w:t>
      </w:r>
      <w:bookmarkStart w:id="0" w:name="_GoBack"/>
      <w:bookmarkEnd w:id="0"/>
      <w:r w:rsidRPr="007F1E50">
        <w:rPr>
          <w:rFonts w:ascii="Arial" w:hAnsi="Arial" w:cs="Arial"/>
          <w:spacing w:val="-2"/>
          <w:lang w:eastAsia="en-AU"/>
        </w:rPr>
        <w:t>al average terms, reflecting weaker domestic economic conditions in Western Australia. The drivers of recent price movements have been broadly similar at the State and national level and across all capital cities, with the exception that rent costs have fallen substantially in Perth relative to other capitals and continue to act as a drag on annual growth.</w:t>
      </w:r>
    </w:p>
    <w:p w:rsidR="00E82159" w:rsidRPr="007F1E50" w:rsidRDefault="00E82159" w:rsidP="00E82159">
      <w:pPr>
        <w:spacing w:after="200"/>
        <w:rPr>
          <w:rFonts w:ascii="Arial" w:hAnsi="Arial" w:cs="Times New Roman"/>
          <w:b/>
          <w:bCs/>
          <w:i/>
          <w:szCs w:val="34"/>
          <w:lang w:eastAsia="en-AU"/>
        </w:rPr>
      </w:pPr>
      <w:r w:rsidRPr="007F1E50">
        <w:rPr>
          <w:rFonts w:ascii="Arial" w:hAnsi="Arial" w:cs="Times New Roman"/>
          <w:b/>
          <w:bCs/>
          <w:i/>
          <w:szCs w:val="34"/>
          <w:lang w:eastAsia="en-AU"/>
        </w:rPr>
        <w:t xml:space="preserve">Inflation Outlook </w:t>
      </w:r>
    </w:p>
    <w:p w:rsidR="00E82159" w:rsidRPr="007F1E50" w:rsidRDefault="00E82159" w:rsidP="00E82159">
      <w:pPr>
        <w:spacing w:line="240" w:lineRule="auto"/>
        <w:jc w:val="both"/>
        <w:rPr>
          <w:rFonts w:ascii="Arial" w:hAnsi="Arial" w:cs="Arial"/>
          <w:spacing w:val="-2"/>
          <w:lang w:eastAsia="en-AU"/>
        </w:rPr>
      </w:pPr>
      <w:r>
        <w:rPr>
          <w:rFonts w:ascii="Arial" w:hAnsi="Arial" w:cs="Arial"/>
          <w:spacing w:val="-2"/>
          <w:lang w:eastAsia="en-AU"/>
        </w:rPr>
        <w:t>The 2019-20 Mid-year Review forecasts</w:t>
      </w:r>
      <w:r w:rsidRPr="007F1E50">
        <w:rPr>
          <w:rFonts w:ascii="Arial" w:hAnsi="Arial" w:cs="Arial"/>
          <w:spacing w:val="-2"/>
          <w:lang w:eastAsia="en-AU"/>
        </w:rPr>
        <w:t xml:space="preserve"> Perth CPI to lift to 1.75% in 2019-20 due to expected price rises in tobacco, a rise in holiday prices and price rises for food (following the drought in the Eastern States). Additionally, an expected recovery in rental markets will continue to lessen rents’ drag on growth. However, the recent fall in the oil prices, if sustained, poses some downside risk to inflation in the near-term. Inflation is forecast to gradually rise to 2.25% by 2021-22 and to stabilise at that rate in 2022-23 (which is within, but at the lower end of, the Reserve Bank of Australia’s target range of 2 to 3%).</w:t>
      </w:r>
    </w:p>
    <w:p w:rsidR="00E82159" w:rsidRPr="007F1E50" w:rsidRDefault="00E82159" w:rsidP="00E82159">
      <w:pPr>
        <w:keepNext/>
        <w:spacing w:before="240" w:after="60" w:line="360" w:lineRule="auto"/>
        <w:jc w:val="both"/>
        <w:outlineLvl w:val="0"/>
        <w:rPr>
          <w:rFonts w:ascii="Arial" w:hAnsi="Arial" w:cs="Arial"/>
          <w:b/>
          <w:bCs/>
          <w:kern w:val="32"/>
          <w:sz w:val="32"/>
          <w:szCs w:val="32"/>
          <w:lang w:val="en-GB"/>
        </w:rPr>
      </w:pPr>
      <w:r w:rsidRPr="007F1E50">
        <w:rPr>
          <w:rFonts w:ascii="Arial" w:hAnsi="Arial" w:cs="Arial"/>
          <w:b/>
          <w:bCs/>
          <w:kern w:val="32"/>
          <w:sz w:val="32"/>
          <w:szCs w:val="32"/>
          <w:lang w:val="en-GB"/>
        </w:rPr>
        <w:t xml:space="preserve">LABOUR MARKET </w:t>
      </w:r>
    </w:p>
    <w:p w:rsidR="00E82159" w:rsidRPr="007F1E50" w:rsidRDefault="00E82159" w:rsidP="00E82159">
      <w:pPr>
        <w:spacing w:line="240" w:lineRule="auto"/>
        <w:jc w:val="both"/>
        <w:rPr>
          <w:rFonts w:ascii="Arial" w:hAnsi="Arial" w:cs="Arial"/>
          <w:lang w:eastAsia="en-AU"/>
        </w:rPr>
      </w:pPr>
      <w:r w:rsidRPr="007F1E50">
        <w:rPr>
          <w:rFonts w:ascii="Arial" w:hAnsi="Arial" w:cs="Arial"/>
          <w:lang w:eastAsia="en-AU"/>
        </w:rPr>
        <w:t>Labour market conditions in WA have remained broadly stable over 2019, with annual average employment growth of 1.</w:t>
      </w:r>
      <w:r>
        <w:rPr>
          <w:rFonts w:ascii="Arial" w:hAnsi="Arial" w:cs="Arial"/>
          <w:lang w:eastAsia="en-AU"/>
        </w:rPr>
        <w:t>3</w:t>
      </w:r>
      <w:r w:rsidRPr="007F1E50">
        <w:rPr>
          <w:rFonts w:ascii="Arial" w:hAnsi="Arial" w:cs="Arial"/>
          <w:lang w:eastAsia="en-AU"/>
        </w:rPr>
        <w:t xml:space="preserve">% in </w:t>
      </w:r>
      <w:r>
        <w:rPr>
          <w:rFonts w:ascii="Arial" w:hAnsi="Arial" w:cs="Arial"/>
          <w:lang w:eastAsia="en-AU"/>
        </w:rPr>
        <w:t>February</w:t>
      </w:r>
      <w:r w:rsidRPr="007F1E50">
        <w:rPr>
          <w:rFonts w:ascii="Arial" w:hAnsi="Arial" w:cs="Arial"/>
          <w:lang w:eastAsia="en-AU"/>
        </w:rPr>
        <w:t xml:space="preserve"> 2020. This represents only a slight lift in employment growth from 0.9% in 2018-19. Full</w:t>
      </w:r>
      <w:r w:rsidRPr="007F1E50">
        <w:rPr>
          <w:rFonts w:ascii="Arial" w:hAnsi="Arial" w:cs="Arial"/>
          <w:lang w:eastAsia="en-AU"/>
        </w:rPr>
        <w:noBreakHyphen/>
        <w:t>time employment has lost momentum in recent months, while part</w:t>
      </w:r>
      <w:r w:rsidRPr="007F1E50">
        <w:rPr>
          <w:rFonts w:ascii="Arial" w:hAnsi="Arial" w:cs="Arial"/>
          <w:lang w:eastAsia="en-AU"/>
        </w:rPr>
        <w:noBreakHyphen/>
        <w:t>time hiring has picked up. Employment growth in the State is forecast to lift to 1.5% in 2019</w:t>
      </w:r>
      <w:r w:rsidRPr="007F1E50">
        <w:rPr>
          <w:rFonts w:ascii="Arial" w:hAnsi="Arial" w:cs="Arial"/>
          <w:lang w:eastAsia="en-AU"/>
        </w:rPr>
        <w:noBreakHyphen/>
        <w:t>20.</w:t>
      </w:r>
    </w:p>
    <w:p w:rsidR="00E82159" w:rsidRPr="007F1E50" w:rsidRDefault="00E82159" w:rsidP="00E82159">
      <w:pPr>
        <w:spacing w:line="240" w:lineRule="auto"/>
        <w:jc w:val="both"/>
        <w:rPr>
          <w:rFonts w:ascii="Arial" w:hAnsi="Arial" w:cs="Arial"/>
          <w:lang w:eastAsia="en-AU"/>
        </w:rPr>
      </w:pPr>
    </w:p>
    <w:p w:rsidR="00E82159" w:rsidRPr="007F1E50" w:rsidRDefault="00E82159" w:rsidP="00E82159">
      <w:pPr>
        <w:spacing w:line="240" w:lineRule="auto"/>
        <w:jc w:val="both"/>
        <w:rPr>
          <w:rFonts w:ascii="Arial" w:hAnsi="Arial" w:cs="Arial"/>
          <w:lang w:eastAsia="en-AU"/>
        </w:rPr>
      </w:pPr>
      <w:r w:rsidRPr="007F1E50">
        <w:rPr>
          <w:rFonts w:ascii="Arial" w:hAnsi="Arial" w:cs="Arial"/>
          <w:lang w:eastAsia="en-AU"/>
        </w:rPr>
        <w:t xml:space="preserve">Workforce participation has eased in the past year, though it remains the highest in Australia. This has partially flowed through to a lower unemployment rate, which averaged 5.8% in the year to </w:t>
      </w:r>
      <w:r>
        <w:rPr>
          <w:rFonts w:ascii="Arial" w:hAnsi="Arial" w:cs="Arial"/>
          <w:lang w:eastAsia="en-AU"/>
        </w:rPr>
        <w:t>February</w:t>
      </w:r>
      <w:r w:rsidRPr="007F1E50">
        <w:rPr>
          <w:rFonts w:ascii="Arial" w:hAnsi="Arial" w:cs="Arial"/>
          <w:lang w:eastAsia="en-AU"/>
        </w:rPr>
        <w:t xml:space="preserve"> 2020. </w:t>
      </w:r>
    </w:p>
    <w:p w:rsidR="00E82159" w:rsidRDefault="00E82159" w:rsidP="00E82159">
      <w:pPr>
        <w:spacing w:line="240" w:lineRule="auto"/>
        <w:jc w:val="both"/>
        <w:rPr>
          <w:rFonts w:ascii="Arial" w:hAnsi="Arial" w:cs="Arial"/>
          <w:lang w:eastAsia="en-AU"/>
        </w:rPr>
      </w:pPr>
    </w:p>
    <w:p w:rsidR="00E82159" w:rsidRPr="007F1E50" w:rsidRDefault="00E82159" w:rsidP="00E82159">
      <w:pPr>
        <w:spacing w:line="240" w:lineRule="auto"/>
        <w:jc w:val="both"/>
        <w:rPr>
          <w:rFonts w:ascii="Arial" w:hAnsi="Arial" w:cs="Arial"/>
          <w:lang w:eastAsia="en-AU"/>
        </w:rPr>
      </w:pPr>
      <w:r w:rsidRPr="007F1E50">
        <w:rPr>
          <w:rFonts w:ascii="Arial" w:hAnsi="Arial" w:cs="Arial"/>
          <w:lang w:eastAsia="en-AU"/>
        </w:rPr>
        <w:t>Western Australia’s annual average unemployment rate has fallen in recent months but remains above the national equivalent (5.2%), as it has done since May 2016 (Chart 3).</w:t>
      </w:r>
      <w:r w:rsidRPr="00742ECC">
        <w:rPr>
          <w:rFonts w:ascii="Arial" w:hAnsi="Arial" w:cs="Arial"/>
          <w:lang w:eastAsia="en-AU"/>
        </w:rPr>
        <w:t xml:space="preserve"> </w:t>
      </w:r>
    </w:p>
    <w:p w:rsidR="00E82159" w:rsidRPr="007F1E50" w:rsidRDefault="00E82159" w:rsidP="00E82159">
      <w:pPr>
        <w:spacing w:line="240" w:lineRule="auto"/>
        <w:jc w:val="both"/>
        <w:rPr>
          <w:rFonts w:ascii="Arial" w:hAnsi="Arial" w:cs="Arial"/>
          <w:highlight w:val="yellow"/>
          <w:lang w:eastAsia="en-AU"/>
        </w:rPr>
      </w:pPr>
      <w:r w:rsidRPr="00AD0D99">
        <w:rPr>
          <w:noProof/>
          <w:lang w:eastAsia="en-AU"/>
        </w:rPr>
        <w:drawing>
          <wp:anchor distT="0" distB="0" distL="114300" distR="114300" simplePos="0" relativeHeight="251657216" behindDoc="1" locked="0" layoutInCell="1" allowOverlap="1" wp14:anchorId="7A0F236A" wp14:editId="31CE9DE8">
            <wp:simplePos x="0" y="0"/>
            <wp:positionH relativeFrom="column">
              <wp:posOffset>2382901</wp:posOffset>
            </wp:positionH>
            <wp:positionV relativeFrom="paragraph">
              <wp:posOffset>180010</wp:posOffset>
            </wp:positionV>
            <wp:extent cx="3549650" cy="3094990"/>
            <wp:effectExtent l="0" t="0" r="0" b="0"/>
            <wp:wrapTight wrapText="bothSides">
              <wp:wrapPolygon edited="0">
                <wp:start x="0" y="0"/>
                <wp:lineTo x="0" y="21405"/>
                <wp:lineTo x="21445" y="21405"/>
                <wp:lineTo x="214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49650" cy="3094990"/>
                    </a:xfrm>
                    <a:prstGeom prst="rect">
                      <a:avLst/>
                    </a:prstGeom>
                    <a:noFill/>
                    <a:ln>
                      <a:noFill/>
                    </a:ln>
                  </pic:spPr>
                </pic:pic>
              </a:graphicData>
            </a:graphic>
          </wp:anchor>
        </w:drawing>
      </w:r>
      <w:r w:rsidRPr="007F1E50">
        <w:rPr>
          <w:rFonts w:ascii="Arial" w:hAnsi="Arial" w:cs="Arial"/>
          <w:highlight w:val="yellow"/>
          <w:lang w:eastAsia="en-AU"/>
        </w:rPr>
        <w:t xml:space="preserve"> </w:t>
      </w:r>
    </w:p>
    <w:p w:rsidR="00E82159" w:rsidRPr="007F1E50" w:rsidRDefault="00E82159" w:rsidP="00E82159">
      <w:pPr>
        <w:spacing w:line="240" w:lineRule="auto"/>
        <w:jc w:val="both"/>
        <w:rPr>
          <w:rFonts w:ascii="Arial" w:hAnsi="Arial" w:cs="Arial"/>
          <w:highlight w:val="yellow"/>
          <w:lang w:eastAsia="en-AU"/>
        </w:rPr>
      </w:pPr>
      <w:r w:rsidRPr="007F1E50">
        <w:rPr>
          <w:rFonts w:ascii="Arial" w:hAnsi="Arial" w:cs="Arial"/>
          <w:lang w:eastAsia="en-AU"/>
        </w:rPr>
        <w:t xml:space="preserve">Other indicators of spare capacity in the labour market remain elevated, including the underemployment rate, which averaged 9.2% in the year to </w:t>
      </w:r>
      <w:r>
        <w:rPr>
          <w:rFonts w:ascii="Arial" w:hAnsi="Arial" w:cs="Arial"/>
          <w:lang w:eastAsia="en-AU"/>
        </w:rPr>
        <w:t>February</w:t>
      </w:r>
      <w:r w:rsidRPr="007F1E50">
        <w:rPr>
          <w:rFonts w:ascii="Arial" w:hAnsi="Arial" w:cs="Arial"/>
          <w:lang w:eastAsia="en-AU"/>
        </w:rPr>
        <w:t xml:space="preserve"> 2020. This has eased from a record high of 9.9% in November 2017 (but much higher than its recent low of 5.6% in April 2013) and implies that there are many employed people who would like to work more hours. When combined with the unemployment rate, the rate of underutilisation in the State eased to 15% in </w:t>
      </w:r>
      <w:r>
        <w:rPr>
          <w:rFonts w:ascii="Arial" w:hAnsi="Arial" w:cs="Arial"/>
          <w:lang w:eastAsia="en-AU"/>
        </w:rPr>
        <w:t>February</w:t>
      </w:r>
      <w:r w:rsidRPr="007F1E50">
        <w:rPr>
          <w:rFonts w:ascii="Arial" w:hAnsi="Arial" w:cs="Arial"/>
          <w:lang w:eastAsia="en-AU"/>
        </w:rPr>
        <w:t xml:space="preserve"> 2020 from a recent peak of 15.7% </w:t>
      </w:r>
      <w:r>
        <w:rPr>
          <w:rFonts w:ascii="Arial" w:hAnsi="Arial" w:cs="Arial"/>
          <w:lang w:eastAsia="en-AU"/>
        </w:rPr>
        <w:t>in January 2019</w:t>
      </w:r>
      <w:r w:rsidRPr="007F1E50">
        <w:rPr>
          <w:rFonts w:ascii="Arial" w:hAnsi="Arial" w:cs="Arial"/>
          <w:lang w:eastAsia="en-AU"/>
        </w:rPr>
        <w:t>.</w:t>
      </w:r>
    </w:p>
    <w:p w:rsidR="00E82159" w:rsidRPr="007F1E50" w:rsidRDefault="00E82159" w:rsidP="00E82159">
      <w:pPr>
        <w:spacing w:line="240" w:lineRule="auto"/>
        <w:jc w:val="both"/>
        <w:rPr>
          <w:rFonts w:ascii="Arial" w:hAnsi="Arial" w:cs="Arial"/>
          <w:highlight w:val="yellow"/>
          <w:lang w:eastAsia="en-AU"/>
        </w:rPr>
      </w:pPr>
    </w:p>
    <w:p w:rsidR="00E82159" w:rsidRPr="007F1E50" w:rsidRDefault="00E82159" w:rsidP="00E82159">
      <w:pPr>
        <w:spacing w:line="240" w:lineRule="auto"/>
        <w:jc w:val="both"/>
        <w:rPr>
          <w:rFonts w:ascii="Arial" w:hAnsi="Arial" w:cs="Arial"/>
          <w:lang w:eastAsia="en-AU"/>
        </w:rPr>
      </w:pPr>
      <w:r w:rsidRPr="007F1E50">
        <w:rPr>
          <w:rFonts w:ascii="Arial" w:hAnsi="Arial" w:cs="Arial"/>
          <w:lang w:eastAsia="en-AU"/>
        </w:rPr>
        <w:t xml:space="preserve">The State’s participation rate has moderated to 68.2% in the year to </w:t>
      </w:r>
      <w:r>
        <w:rPr>
          <w:rFonts w:ascii="Arial" w:hAnsi="Arial" w:cs="Arial"/>
          <w:lang w:eastAsia="en-AU"/>
        </w:rPr>
        <w:t>February</w:t>
      </w:r>
      <w:r w:rsidRPr="007F1E50">
        <w:rPr>
          <w:rFonts w:ascii="Arial" w:hAnsi="Arial" w:cs="Arial"/>
          <w:lang w:eastAsia="en-AU"/>
        </w:rPr>
        <w:t xml:space="preserve"> 2020, from a recent peak of 68.5% </w:t>
      </w:r>
      <w:r>
        <w:rPr>
          <w:rFonts w:ascii="Arial" w:hAnsi="Arial" w:cs="Arial"/>
          <w:lang w:eastAsia="en-AU"/>
        </w:rPr>
        <w:t xml:space="preserve">around </w:t>
      </w:r>
      <w:r w:rsidRPr="007F1E50">
        <w:rPr>
          <w:rFonts w:ascii="Arial" w:hAnsi="Arial" w:cs="Arial"/>
          <w:lang w:eastAsia="en-AU"/>
        </w:rPr>
        <w:t xml:space="preserve">a year earlier. Western Australia’s participation rate remains the highest of all States and well above the national rate (66%). </w:t>
      </w:r>
    </w:p>
    <w:p w:rsidR="00E82159" w:rsidRDefault="00E82159">
      <w:pPr>
        <w:spacing w:after="200"/>
        <w:rPr>
          <w:rFonts w:ascii="Arial" w:hAnsi="Arial" w:cs="Times New Roman"/>
          <w:b/>
          <w:bCs/>
          <w:i/>
          <w:szCs w:val="34"/>
          <w:lang w:eastAsia="en-AU"/>
        </w:rPr>
      </w:pPr>
      <w:r>
        <w:rPr>
          <w:rFonts w:ascii="Arial" w:hAnsi="Arial" w:cs="Times New Roman"/>
          <w:b/>
          <w:bCs/>
          <w:i/>
          <w:szCs w:val="34"/>
          <w:lang w:eastAsia="en-AU"/>
        </w:rPr>
        <w:br w:type="page"/>
      </w:r>
    </w:p>
    <w:p w:rsidR="00E82159" w:rsidRPr="007F1E50" w:rsidRDefault="00E82159" w:rsidP="00E82159">
      <w:pPr>
        <w:keepNext/>
        <w:spacing w:before="100" w:beforeAutospacing="1" w:after="100" w:afterAutospacing="1" w:line="240" w:lineRule="auto"/>
        <w:jc w:val="both"/>
        <w:outlineLvl w:val="1"/>
        <w:rPr>
          <w:rFonts w:ascii="Arial" w:hAnsi="Arial" w:cs="Times New Roman"/>
          <w:b/>
          <w:bCs/>
          <w:i/>
          <w:szCs w:val="34"/>
          <w:lang w:eastAsia="en-AU"/>
        </w:rPr>
      </w:pPr>
      <w:r w:rsidRPr="007F1E50">
        <w:rPr>
          <w:rFonts w:ascii="Arial" w:hAnsi="Arial" w:cs="Times New Roman"/>
          <w:b/>
          <w:bCs/>
          <w:i/>
          <w:szCs w:val="34"/>
          <w:lang w:eastAsia="en-AU"/>
        </w:rPr>
        <w:t xml:space="preserve">Labour force outlook </w:t>
      </w:r>
    </w:p>
    <w:p w:rsidR="00E82159" w:rsidRPr="007F1E50" w:rsidRDefault="00E82159" w:rsidP="00E82159">
      <w:pPr>
        <w:spacing w:line="240" w:lineRule="auto"/>
        <w:jc w:val="both"/>
        <w:rPr>
          <w:rFonts w:ascii="Arial" w:hAnsi="Arial" w:cs="Arial"/>
          <w:lang w:eastAsia="en-AU"/>
        </w:rPr>
      </w:pPr>
      <w:r>
        <w:rPr>
          <w:rFonts w:ascii="Arial" w:hAnsi="Arial" w:cs="Arial"/>
          <w:lang w:eastAsia="en-AU"/>
        </w:rPr>
        <w:t xml:space="preserve">The 2019-20 </w:t>
      </w:r>
      <w:r w:rsidRPr="007F1E50">
        <w:rPr>
          <w:rFonts w:ascii="Arial" w:hAnsi="Arial" w:cs="Arial"/>
          <w:lang w:eastAsia="en-AU"/>
        </w:rPr>
        <w:t>Mid-year Review forecast</w:t>
      </w:r>
      <w:r>
        <w:rPr>
          <w:rFonts w:ascii="Arial" w:hAnsi="Arial" w:cs="Arial"/>
          <w:lang w:eastAsia="en-AU"/>
        </w:rPr>
        <w:t>s employment to grow by</w:t>
      </w:r>
      <w:r w:rsidRPr="007F1E50">
        <w:rPr>
          <w:rFonts w:ascii="Arial" w:hAnsi="Arial" w:cs="Arial"/>
          <w:lang w:eastAsia="en-AU"/>
        </w:rPr>
        <w:t xml:space="preserve"> 1.5% in 2019</w:t>
      </w:r>
      <w:r w:rsidRPr="007F1E50">
        <w:rPr>
          <w:rFonts w:ascii="Arial" w:hAnsi="Arial" w:cs="Arial"/>
          <w:lang w:eastAsia="en-AU"/>
        </w:rPr>
        <w:noBreakHyphen/>
        <w:t>20, following 0.9% growth in 2018-19. The lift in employment growth in the near term is expected to be supported by investment in the resources sector, coupled with major infrastructure projects such as METRONET. Growth over the forward estimates period is projected to remain broadly in line with the 29-year average rate of 2.1%.</w:t>
      </w:r>
    </w:p>
    <w:p w:rsidR="00E82159" w:rsidRPr="007F1E50" w:rsidRDefault="00E82159" w:rsidP="00E82159">
      <w:pPr>
        <w:spacing w:line="240" w:lineRule="auto"/>
        <w:jc w:val="both"/>
        <w:rPr>
          <w:rFonts w:ascii="Arial" w:hAnsi="Arial" w:cs="Arial"/>
          <w:highlight w:val="yellow"/>
          <w:lang w:eastAsia="en-AU"/>
        </w:rPr>
      </w:pPr>
      <w:r w:rsidRPr="007F1E50">
        <w:rPr>
          <w:rFonts w:ascii="Arial" w:hAnsi="Arial" w:cs="Arial"/>
          <w:highlight w:val="yellow"/>
          <w:lang w:eastAsia="en-AU"/>
        </w:rPr>
        <w:t xml:space="preserve"> </w:t>
      </w:r>
    </w:p>
    <w:p w:rsidR="00E82159" w:rsidRPr="007F1E50" w:rsidRDefault="00E82159" w:rsidP="00E82159">
      <w:pPr>
        <w:keepNext/>
        <w:spacing w:before="240" w:after="60" w:line="360" w:lineRule="auto"/>
        <w:jc w:val="both"/>
        <w:outlineLvl w:val="0"/>
        <w:rPr>
          <w:rFonts w:ascii="Arial" w:hAnsi="Arial" w:cs="Arial"/>
          <w:b/>
          <w:bCs/>
          <w:kern w:val="32"/>
          <w:sz w:val="32"/>
          <w:szCs w:val="32"/>
          <w:lang w:val="en-GB"/>
        </w:rPr>
      </w:pPr>
      <w:r w:rsidRPr="007F1E50">
        <w:rPr>
          <w:rFonts w:ascii="Arial" w:hAnsi="Arial" w:cs="Arial"/>
          <w:b/>
          <w:bCs/>
          <w:kern w:val="32"/>
          <w:sz w:val="32"/>
          <w:szCs w:val="32"/>
          <w:lang w:val="en-GB"/>
        </w:rPr>
        <w:t xml:space="preserve">WAGES </w:t>
      </w:r>
    </w:p>
    <w:p w:rsidR="00E82159" w:rsidRPr="007F1E50" w:rsidRDefault="00E82159" w:rsidP="00E82159">
      <w:pPr>
        <w:spacing w:line="240" w:lineRule="auto"/>
        <w:jc w:val="both"/>
        <w:rPr>
          <w:rFonts w:ascii="Arial" w:hAnsi="Arial" w:cs="Arial"/>
          <w:color w:val="000000"/>
          <w:spacing w:val="-2"/>
          <w:lang w:eastAsia="en-AU"/>
        </w:rPr>
      </w:pPr>
      <w:r w:rsidRPr="007F1E50">
        <w:rPr>
          <w:rFonts w:ascii="Arial" w:hAnsi="Arial" w:cs="Arial"/>
          <w:color w:val="000000"/>
          <w:spacing w:val="-2"/>
          <w:lang w:eastAsia="en-AU"/>
        </w:rPr>
        <w:t xml:space="preserve">Ongoing spare capacity in the labour market and low inflation expectations are expected to result in subdued wages growth in Western Australia. </w:t>
      </w:r>
    </w:p>
    <w:p w:rsidR="00E82159" w:rsidRPr="007F1E50" w:rsidRDefault="00E82159" w:rsidP="00E82159">
      <w:pPr>
        <w:spacing w:line="240" w:lineRule="auto"/>
        <w:jc w:val="both"/>
        <w:rPr>
          <w:rFonts w:ascii="Arial" w:hAnsi="Arial" w:cs="Arial"/>
          <w:color w:val="000000"/>
          <w:spacing w:val="-2"/>
          <w:lang w:eastAsia="en-AU"/>
        </w:rPr>
      </w:pPr>
    </w:p>
    <w:p w:rsidR="00E82159" w:rsidRPr="007F1E50" w:rsidRDefault="00E82159" w:rsidP="00E82159">
      <w:pPr>
        <w:spacing w:line="240" w:lineRule="auto"/>
        <w:jc w:val="both"/>
        <w:rPr>
          <w:rFonts w:ascii="Arial" w:hAnsi="Arial" w:cs="Arial"/>
          <w:color w:val="000000"/>
          <w:spacing w:val="-2"/>
          <w:highlight w:val="yellow"/>
          <w:lang w:eastAsia="en-AU"/>
        </w:rPr>
      </w:pPr>
      <w:r w:rsidRPr="007F1E50">
        <w:rPr>
          <w:rFonts w:ascii="Arial" w:hAnsi="Arial" w:cs="Arial"/>
          <w:noProof/>
          <w:color w:val="000000"/>
          <w:spacing w:val="-2"/>
          <w:highlight w:val="yellow"/>
          <w:lang w:eastAsia="en-AU"/>
        </w:rPr>
        <w:drawing>
          <wp:anchor distT="0" distB="0" distL="114300" distR="114300" simplePos="0" relativeHeight="251654144" behindDoc="0" locked="0" layoutInCell="1" allowOverlap="1" wp14:anchorId="5E8CA59F" wp14:editId="54BAA485">
            <wp:simplePos x="0" y="0"/>
            <wp:positionH relativeFrom="column">
              <wp:posOffset>635</wp:posOffset>
            </wp:positionH>
            <wp:positionV relativeFrom="paragraph">
              <wp:posOffset>635</wp:posOffset>
            </wp:positionV>
            <wp:extent cx="3463200" cy="3024000"/>
            <wp:effectExtent l="0" t="0" r="4445"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63200" cy="3024000"/>
                    </a:xfrm>
                    <a:prstGeom prst="rect">
                      <a:avLst/>
                    </a:prstGeom>
                    <a:noFill/>
                  </pic:spPr>
                </pic:pic>
              </a:graphicData>
            </a:graphic>
            <wp14:sizeRelH relativeFrom="margin">
              <wp14:pctWidth>0</wp14:pctWidth>
            </wp14:sizeRelH>
            <wp14:sizeRelV relativeFrom="margin">
              <wp14:pctHeight>0</wp14:pctHeight>
            </wp14:sizeRelV>
          </wp:anchor>
        </w:drawing>
      </w:r>
    </w:p>
    <w:p w:rsidR="00E82159" w:rsidRDefault="00E82159" w:rsidP="00E82159">
      <w:pPr>
        <w:spacing w:line="240" w:lineRule="auto"/>
        <w:jc w:val="both"/>
        <w:rPr>
          <w:rFonts w:ascii="Arial" w:hAnsi="Arial" w:cs="Arial"/>
          <w:color w:val="000000"/>
          <w:spacing w:val="-2"/>
          <w:lang w:eastAsia="en-AU"/>
        </w:rPr>
      </w:pPr>
    </w:p>
    <w:p w:rsidR="00E82159" w:rsidRPr="007F1E50" w:rsidRDefault="00E82159" w:rsidP="00E82159">
      <w:pPr>
        <w:spacing w:line="240" w:lineRule="auto"/>
        <w:jc w:val="both"/>
        <w:rPr>
          <w:rFonts w:ascii="Arial" w:hAnsi="Arial" w:cs="Arial"/>
          <w:color w:val="000000"/>
          <w:spacing w:val="-2"/>
          <w:lang w:eastAsia="en-AU"/>
        </w:rPr>
      </w:pPr>
      <w:r w:rsidRPr="007F1E50">
        <w:rPr>
          <w:rFonts w:ascii="Arial" w:hAnsi="Arial" w:cs="Arial"/>
          <w:color w:val="000000"/>
          <w:spacing w:val="-2"/>
          <w:lang w:eastAsia="en-AU"/>
        </w:rPr>
        <w:t>The State’s Wage Price Index (WPI) increased by just 0.4% in the December quarter 2019. This follows 0.7% growth in the September 2019 quarter and is well below the decade average quarterly growth of 0.6%.</w:t>
      </w:r>
    </w:p>
    <w:p w:rsidR="00E82159" w:rsidRPr="007F1E50" w:rsidRDefault="00E82159" w:rsidP="00E82159">
      <w:pPr>
        <w:spacing w:line="240" w:lineRule="auto"/>
        <w:jc w:val="both"/>
        <w:rPr>
          <w:rFonts w:ascii="Arial" w:hAnsi="Arial" w:cs="Arial"/>
          <w:color w:val="000000"/>
          <w:spacing w:val="-2"/>
          <w:lang w:eastAsia="en-AU"/>
        </w:rPr>
      </w:pPr>
    </w:p>
    <w:p w:rsidR="00E82159" w:rsidRPr="007F1E50" w:rsidRDefault="00E82159" w:rsidP="00E82159">
      <w:pPr>
        <w:spacing w:line="240" w:lineRule="auto"/>
        <w:jc w:val="both"/>
        <w:rPr>
          <w:rFonts w:ascii="Arial" w:hAnsi="Arial" w:cs="Arial"/>
          <w:color w:val="000000"/>
          <w:spacing w:val="-2"/>
          <w:lang w:eastAsia="en-AU"/>
        </w:rPr>
      </w:pPr>
      <w:r w:rsidRPr="007F1E50">
        <w:rPr>
          <w:rFonts w:ascii="Arial" w:hAnsi="Arial" w:cs="Arial"/>
          <w:color w:val="000000"/>
          <w:spacing w:val="-2"/>
          <w:lang w:eastAsia="en-AU"/>
        </w:rPr>
        <w:t>Annual average WPI growth picked up slightly to 1.6% in 2019, from 1.5% in 2018 and 1.4% in 2017.</w:t>
      </w:r>
    </w:p>
    <w:p w:rsidR="00E82159" w:rsidRPr="007F1E50" w:rsidRDefault="00E82159" w:rsidP="00E82159">
      <w:pPr>
        <w:spacing w:line="240" w:lineRule="auto"/>
        <w:jc w:val="both"/>
        <w:rPr>
          <w:rFonts w:ascii="Arial" w:hAnsi="Arial" w:cs="Arial"/>
          <w:color w:val="000000"/>
          <w:spacing w:val="-2"/>
          <w:lang w:eastAsia="en-AU"/>
        </w:rPr>
      </w:pPr>
    </w:p>
    <w:p w:rsidR="00E82159" w:rsidRDefault="00E82159" w:rsidP="00E82159">
      <w:pPr>
        <w:spacing w:line="240" w:lineRule="auto"/>
        <w:jc w:val="both"/>
        <w:rPr>
          <w:rFonts w:ascii="Arial" w:hAnsi="Arial" w:cs="Arial"/>
          <w:color w:val="000000"/>
          <w:spacing w:val="-2"/>
          <w:lang w:eastAsia="en-AU"/>
        </w:rPr>
      </w:pPr>
    </w:p>
    <w:p w:rsidR="00E82159" w:rsidRDefault="00E82159" w:rsidP="00E82159">
      <w:pPr>
        <w:spacing w:line="240" w:lineRule="auto"/>
        <w:jc w:val="both"/>
        <w:rPr>
          <w:rFonts w:ascii="Arial" w:hAnsi="Arial" w:cs="Arial"/>
          <w:color w:val="000000"/>
          <w:spacing w:val="-2"/>
          <w:lang w:eastAsia="en-AU"/>
        </w:rPr>
      </w:pPr>
    </w:p>
    <w:p w:rsidR="00E82159" w:rsidRDefault="00E82159" w:rsidP="00E82159">
      <w:pPr>
        <w:spacing w:line="240" w:lineRule="auto"/>
        <w:jc w:val="both"/>
        <w:rPr>
          <w:rFonts w:ascii="Arial" w:hAnsi="Arial" w:cs="Arial"/>
          <w:color w:val="000000"/>
          <w:spacing w:val="-2"/>
          <w:lang w:eastAsia="en-AU"/>
        </w:rPr>
      </w:pPr>
    </w:p>
    <w:p w:rsidR="00E82159" w:rsidRPr="007F1E50" w:rsidRDefault="00E82159" w:rsidP="00E82159">
      <w:pPr>
        <w:spacing w:line="240" w:lineRule="auto"/>
        <w:jc w:val="both"/>
        <w:rPr>
          <w:rFonts w:ascii="Arial" w:hAnsi="Arial" w:cs="Arial"/>
          <w:color w:val="000000"/>
          <w:spacing w:val="-2"/>
          <w:lang w:eastAsia="en-AU"/>
        </w:rPr>
      </w:pPr>
      <w:r w:rsidRPr="007F1E50">
        <w:rPr>
          <w:rFonts w:ascii="Arial" w:hAnsi="Arial" w:cs="Arial"/>
          <w:color w:val="000000"/>
          <w:spacing w:val="-2"/>
          <w:lang w:eastAsia="en-AU"/>
        </w:rPr>
        <w:t>With moderate increases in both Perth CPI (1.5%) and nominal WPI (1.6%), WA’s real wage growth dropped to 0.1% in 2019 from 0.4% in 2018. This is below the national real wage growth of 0.69% in 2019</w:t>
      </w:r>
      <w:r>
        <w:rPr>
          <w:rFonts w:ascii="Arial" w:hAnsi="Arial" w:cs="Arial"/>
          <w:color w:val="000000"/>
          <w:spacing w:val="-2"/>
          <w:lang w:eastAsia="en-AU"/>
        </w:rPr>
        <w:t>,</w:t>
      </w:r>
      <w:r w:rsidRPr="007F1E50">
        <w:rPr>
          <w:rFonts w:ascii="Arial" w:hAnsi="Arial" w:cs="Arial"/>
          <w:color w:val="000000"/>
          <w:spacing w:val="-2"/>
          <w:lang w:eastAsia="en-AU"/>
        </w:rPr>
        <w:t xml:space="preserve"> which lifted from 0.26% in 2018. The divergence between national and the State’s real wage growth started from the December quarter 2017 is likely to continue in the near term.   </w:t>
      </w:r>
    </w:p>
    <w:p w:rsidR="00E82159" w:rsidRPr="007F1E50" w:rsidRDefault="00E82159" w:rsidP="00E82159">
      <w:pPr>
        <w:spacing w:line="240" w:lineRule="auto"/>
        <w:jc w:val="both"/>
        <w:rPr>
          <w:rFonts w:ascii="Arial" w:hAnsi="Arial" w:cs="Arial"/>
          <w:color w:val="000000"/>
          <w:spacing w:val="-2"/>
          <w:highlight w:val="yellow"/>
          <w:lang w:eastAsia="en-AU"/>
        </w:rPr>
      </w:pPr>
    </w:p>
    <w:p w:rsidR="00E82159" w:rsidRPr="007F1E50" w:rsidRDefault="00E82159" w:rsidP="00E82159">
      <w:pPr>
        <w:keepNext/>
        <w:spacing w:before="100" w:beforeAutospacing="1" w:after="100" w:afterAutospacing="1" w:line="240" w:lineRule="auto"/>
        <w:jc w:val="both"/>
        <w:outlineLvl w:val="1"/>
        <w:rPr>
          <w:rFonts w:ascii="Arial" w:hAnsi="Arial" w:cs="Times New Roman"/>
          <w:b/>
          <w:bCs/>
          <w:i/>
          <w:color w:val="000000"/>
          <w:szCs w:val="34"/>
          <w:lang w:eastAsia="en-AU"/>
        </w:rPr>
      </w:pPr>
      <w:r w:rsidRPr="007F1E50">
        <w:rPr>
          <w:rFonts w:ascii="Arial" w:hAnsi="Arial" w:cs="Times New Roman"/>
          <w:b/>
          <w:bCs/>
          <w:i/>
          <w:color w:val="000000"/>
          <w:szCs w:val="34"/>
          <w:lang w:eastAsia="en-AU"/>
        </w:rPr>
        <w:t>Earnings</w:t>
      </w:r>
    </w:p>
    <w:p w:rsidR="00E82159" w:rsidRPr="007F1E50" w:rsidRDefault="00E82159" w:rsidP="00E82159">
      <w:pPr>
        <w:spacing w:line="240" w:lineRule="auto"/>
        <w:jc w:val="both"/>
        <w:rPr>
          <w:rFonts w:ascii="Arial" w:hAnsi="Arial" w:cs="Arial"/>
          <w:color w:val="000000"/>
          <w:spacing w:val="-2"/>
          <w:lang w:eastAsia="en-AU"/>
        </w:rPr>
      </w:pPr>
      <w:r w:rsidRPr="007F1E50">
        <w:rPr>
          <w:rFonts w:ascii="Arial" w:hAnsi="Arial" w:cs="Arial"/>
          <w:color w:val="000000"/>
          <w:spacing w:val="-2"/>
          <w:lang w:eastAsia="en-AU"/>
        </w:rPr>
        <w:t>Seasonally adjusted, total average weekly earnings (AWE) in Western Australia grew by 1.0% in 2019</w:t>
      </w:r>
      <w:r w:rsidRPr="007F1E50">
        <w:rPr>
          <w:rFonts w:ascii="Arial" w:hAnsi="Arial" w:cs="Arial"/>
          <w:color w:val="000000"/>
          <w:spacing w:val="-2"/>
          <w:vertAlign w:val="superscript"/>
          <w:lang w:eastAsia="en-AU"/>
        </w:rPr>
        <w:footnoteReference w:id="37"/>
      </w:r>
      <w:r w:rsidRPr="007F1E50">
        <w:rPr>
          <w:rFonts w:ascii="Arial" w:hAnsi="Arial" w:cs="Arial"/>
          <w:color w:val="000000"/>
          <w:spacing w:val="-2"/>
          <w:lang w:eastAsia="en-AU"/>
        </w:rPr>
        <w:t>, to reach $1,334.9</w:t>
      </w:r>
      <w:r>
        <w:rPr>
          <w:rFonts w:ascii="Arial" w:hAnsi="Arial" w:cs="Arial"/>
          <w:color w:val="000000"/>
          <w:spacing w:val="-2"/>
          <w:lang w:eastAsia="en-AU"/>
        </w:rPr>
        <w:t>0</w:t>
      </w:r>
      <w:r w:rsidRPr="007F1E50">
        <w:rPr>
          <w:rFonts w:ascii="Arial" w:hAnsi="Arial" w:cs="Arial"/>
          <w:color w:val="000000"/>
          <w:spacing w:val="-2"/>
          <w:lang w:eastAsia="en-AU"/>
        </w:rPr>
        <w:t xml:space="preserve">. In dollar terms, AWE in Western Australia was the highest of all the States, behind the NT ($1,407.70) and the ACT ($1,428.60). However, annual average growth was the lowest of all States and just above the ACT’s 0.8% fall. </w:t>
      </w:r>
    </w:p>
    <w:p w:rsidR="00E82159" w:rsidRPr="007F1E50" w:rsidRDefault="00E82159" w:rsidP="00E82159">
      <w:pPr>
        <w:spacing w:line="240" w:lineRule="auto"/>
        <w:jc w:val="both"/>
        <w:rPr>
          <w:rFonts w:ascii="Arial" w:hAnsi="Arial" w:cs="Arial"/>
          <w:color w:val="000000"/>
          <w:spacing w:val="-2"/>
          <w:lang w:eastAsia="en-AU"/>
        </w:rPr>
      </w:pPr>
    </w:p>
    <w:p w:rsidR="00E82159" w:rsidRPr="007F1E50" w:rsidRDefault="00E82159" w:rsidP="00E82159">
      <w:pPr>
        <w:spacing w:line="240" w:lineRule="auto"/>
        <w:jc w:val="both"/>
        <w:rPr>
          <w:rFonts w:ascii="Arial" w:hAnsi="Arial" w:cs="Arial"/>
          <w:color w:val="000000"/>
          <w:spacing w:val="-2"/>
          <w:lang w:eastAsia="en-AU"/>
        </w:rPr>
      </w:pPr>
      <w:r w:rsidRPr="007F1E50">
        <w:rPr>
          <w:rFonts w:ascii="Arial" w:hAnsi="Arial" w:cs="Arial"/>
          <w:color w:val="000000"/>
          <w:spacing w:val="-2"/>
          <w:lang w:eastAsia="en-AU"/>
        </w:rPr>
        <w:t>Average weekly full</w:t>
      </w:r>
      <w:r w:rsidRPr="007F1E50">
        <w:rPr>
          <w:rFonts w:ascii="Arial" w:hAnsi="Arial" w:cs="Arial"/>
          <w:color w:val="000000"/>
          <w:spacing w:val="-2"/>
          <w:lang w:eastAsia="en-AU"/>
        </w:rPr>
        <w:noBreakHyphen/>
        <w:t xml:space="preserve">time ordinary earnings (AWOTE) increased by 1.7% in 2019 to reach $1,777.80 (behind only the ACT at $1,827.20). This measure of average wages is </w:t>
      </w:r>
      <w:r w:rsidRPr="007F1E50">
        <w:rPr>
          <w:rFonts w:ascii="Arial" w:hAnsi="Arial" w:cs="Arial"/>
          <w:color w:val="000000"/>
          <w:spacing w:val="-2"/>
          <w:lang w:val="en-US" w:eastAsia="en-AU"/>
        </w:rPr>
        <w:t>not impacted by the compositional changes between full</w:t>
      </w:r>
      <w:r w:rsidRPr="007F1E50">
        <w:rPr>
          <w:rFonts w:ascii="Arial" w:hAnsi="Arial" w:cs="Arial"/>
          <w:color w:val="000000"/>
          <w:spacing w:val="-2"/>
          <w:lang w:val="en-US" w:eastAsia="en-AU"/>
        </w:rPr>
        <w:noBreakHyphen/>
        <w:t>time and part</w:t>
      </w:r>
      <w:r w:rsidRPr="007F1E50">
        <w:rPr>
          <w:rFonts w:ascii="Arial" w:hAnsi="Arial" w:cs="Arial"/>
          <w:color w:val="000000"/>
          <w:spacing w:val="-2"/>
          <w:lang w:val="en-US" w:eastAsia="en-AU"/>
        </w:rPr>
        <w:noBreakHyphen/>
        <w:t>time employment.</w:t>
      </w:r>
    </w:p>
    <w:p w:rsidR="00E82159" w:rsidRPr="007F1E50" w:rsidRDefault="00E82159" w:rsidP="00E82159">
      <w:pPr>
        <w:spacing w:line="240" w:lineRule="auto"/>
        <w:jc w:val="both"/>
        <w:rPr>
          <w:rFonts w:ascii="Arial" w:hAnsi="Arial" w:cs="Arial"/>
          <w:color w:val="000000"/>
          <w:spacing w:val="-2"/>
          <w:lang w:eastAsia="en-AU"/>
        </w:rPr>
      </w:pPr>
    </w:p>
    <w:p w:rsidR="00E82159" w:rsidRPr="007F1E50" w:rsidRDefault="00E82159" w:rsidP="00E82159">
      <w:pPr>
        <w:spacing w:line="240" w:lineRule="auto"/>
        <w:jc w:val="both"/>
        <w:rPr>
          <w:rFonts w:ascii="Arial" w:hAnsi="Arial" w:cs="Arial"/>
          <w:color w:val="000000"/>
          <w:spacing w:val="-2"/>
          <w:lang w:eastAsia="en-AU"/>
        </w:rPr>
      </w:pPr>
      <w:r w:rsidRPr="007F1E50">
        <w:rPr>
          <w:rFonts w:ascii="Arial" w:hAnsi="Arial" w:cs="Arial"/>
          <w:color w:val="000000"/>
          <w:spacing w:val="-2"/>
          <w:lang w:eastAsia="en-AU"/>
        </w:rPr>
        <w:t xml:space="preserve">In a State like Western Australia, growth in the various average weekly earnings measures tends to be more volatile than growth in the WPI. </w:t>
      </w:r>
    </w:p>
    <w:p w:rsidR="00E82159" w:rsidRPr="007F1E50" w:rsidRDefault="00E82159" w:rsidP="00E82159">
      <w:pPr>
        <w:spacing w:line="240" w:lineRule="auto"/>
        <w:jc w:val="both"/>
        <w:rPr>
          <w:rFonts w:ascii="Arial" w:hAnsi="Arial" w:cs="Arial"/>
          <w:color w:val="000000"/>
          <w:spacing w:val="-2"/>
          <w:lang w:eastAsia="en-AU"/>
        </w:rPr>
      </w:pPr>
    </w:p>
    <w:p w:rsidR="00E82159" w:rsidRPr="007F1E50" w:rsidRDefault="00E82159" w:rsidP="00E82159">
      <w:pPr>
        <w:spacing w:line="240" w:lineRule="auto"/>
        <w:jc w:val="both"/>
        <w:rPr>
          <w:rFonts w:ascii="Arial" w:hAnsi="Arial" w:cs="Arial"/>
          <w:color w:val="000000"/>
          <w:spacing w:val="-2"/>
          <w:lang w:eastAsia="en-AU"/>
        </w:rPr>
      </w:pPr>
      <w:r w:rsidRPr="007F1E50">
        <w:rPr>
          <w:rFonts w:ascii="Arial" w:hAnsi="Arial" w:cs="Arial"/>
          <w:color w:val="000000"/>
          <w:spacing w:val="-2"/>
          <w:lang w:eastAsia="en-AU"/>
        </w:rPr>
        <w:t>The greater volatility in part reflects changes in the composition of the State’s workforce</w:t>
      </w:r>
      <w:r w:rsidRPr="007F1E50">
        <w:rPr>
          <w:rFonts w:ascii="Arial" w:hAnsi="Arial" w:cs="Arial"/>
          <w:color w:val="000000"/>
          <w:spacing w:val="-2"/>
          <w:vertAlign w:val="superscript"/>
          <w:lang w:eastAsia="en-AU"/>
        </w:rPr>
        <w:footnoteReference w:id="38"/>
      </w:r>
      <w:r w:rsidRPr="007F1E50">
        <w:rPr>
          <w:rFonts w:ascii="Arial" w:hAnsi="Arial" w:cs="Arial"/>
          <w:color w:val="000000"/>
          <w:spacing w:val="-2"/>
          <w:lang w:eastAsia="en-AU"/>
        </w:rPr>
        <w:t>, which affects average earnings data but not the WPI (as the latter only measures wage movements in a basket of jobs of a fixed quantity and quality). Given the volatility and compositional issues associated with earnings measures, the WPI is a preferred measure of underlying wage growth.</w:t>
      </w:r>
    </w:p>
    <w:p w:rsidR="00E82159" w:rsidRPr="007F1E50" w:rsidRDefault="00E82159" w:rsidP="00E82159">
      <w:pPr>
        <w:keepNext/>
        <w:spacing w:before="100" w:beforeAutospacing="1" w:after="100" w:afterAutospacing="1" w:line="240" w:lineRule="auto"/>
        <w:jc w:val="both"/>
        <w:outlineLvl w:val="1"/>
        <w:rPr>
          <w:rFonts w:ascii="Arial" w:hAnsi="Arial" w:cs="Times New Roman"/>
          <w:b/>
          <w:bCs/>
          <w:i/>
          <w:color w:val="000000"/>
          <w:szCs w:val="34"/>
          <w:lang w:eastAsia="en-AU"/>
        </w:rPr>
      </w:pPr>
      <w:r w:rsidRPr="007F1E50">
        <w:rPr>
          <w:rFonts w:ascii="Arial" w:hAnsi="Arial" w:cs="Times New Roman"/>
          <w:b/>
          <w:bCs/>
          <w:i/>
          <w:color w:val="000000"/>
          <w:szCs w:val="34"/>
          <w:lang w:eastAsia="en-AU"/>
        </w:rPr>
        <w:t xml:space="preserve">Wages outlook </w:t>
      </w:r>
    </w:p>
    <w:p w:rsidR="00E82159" w:rsidRPr="007F1E50" w:rsidRDefault="00E82159" w:rsidP="00E82159">
      <w:pPr>
        <w:spacing w:line="240" w:lineRule="auto"/>
        <w:ind w:firstLine="30"/>
        <w:jc w:val="both"/>
        <w:rPr>
          <w:rFonts w:ascii="Arial" w:hAnsi="Arial" w:cs="Arial"/>
          <w:color w:val="000000"/>
          <w:spacing w:val="-2"/>
          <w:lang w:eastAsia="en-AU"/>
        </w:rPr>
      </w:pPr>
      <w:r w:rsidRPr="007F1E50">
        <w:rPr>
          <w:rFonts w:ascii="Arial" w:hAnsi="Arial" w:cs="Arial"/>
          <w:color w:val="000000"/>
          <w:spacing w:val="-2"/>
          <w:lang w:eastAsia="en-AU"/>
        </w:rPr>
        <w:t xml:space="preserve">Following growth of 1.6% in 2018-19, </w:t>
      </w:r>
      <w:r>
        <w:rPr>
          <w:rFonts w:ascii="Arial" w:hAnsi="Arial" w:cs="Arial"/>
          <w:color w:val="000000"/>
          <w:spacing w:val="-2"/>
          <w:lang w:eastAsia="en-AU"/>
        </w:rPr>
        <w:t xml:space="preserve">the Mid-year Review projects </w:t>
      </w:r>
      <w:r w:rsidRPr="007F1E50">
        <w:rPr>
          <w:rFonts w:ascii="Arial" w:hAnsi="Arial" w:cs="Arial"/>
          <w:color w:val="000000"/>
          <w:spacing w:val="-2"/>
          <w:lang w:eastAsia="en-AU"/>
        </w:rPr>
        <w:t xml:space="preserve">the rate of growth in the WPI to increase progressively between 2019-20 to 2022-23 as spare capacity in the labour market </w:t>
      </w:r>
      <w:r>
        <w:rPr>
          <w:rFonts w:ascii="Arial" w:hAnsi="Arial" w:cs="Arial"/>
          <w:color w:val="000000"/>
          <w:spacing w:val="-2"/>
          <w:lang w:eastAsia="en-AU"/>
        </w:rPr>
        <w:t>gets</w:t>
      </w:r>
      <w:r w:rsidRPr="007F1E50">
        <w:rPr>
          <w:rFonts w:ascii="Arial" w:hAnsi="Arial" w:cs="Arial"/>
          <w:color w:val="000000"/>
          <w:spacing w:val="-2"/>
          <w:lang w:eastAsia="en-AU"/>
        </w:rPr>
        <w:t xml:space="preserve"> absorbed and the domestic economy recovers. Nonetheless, WPI is not expected to return to its long-run trend rates of growth until beyond the current forecast period.</w:t>
      </w:r>
    </w:p>
    <w:p w:rsidR="00E82159" w:rsidRPr="007F1E50" w:rsidRDefault="00E82159" w:rsidP="00E82159">
      <w:pPr>
        <w:spacing w:line="240" w:lineRule="auto"/>
        <w:ind w:left="30"/>
        <w:jc w:val="both"/>
        <w:rPr>
          <w:rFonts w:ascii="Arial" w:hAnsi="Arial" w:cs="Arial"/>
          <w:b/>
          <w:sz w:val="40"/>
          <w:szCs w:val="40"/>
          <w:lang w:eastAsia="en-AU"/>
        </w:rPr>
      </w:pPr>
    </w:p>
    <w:p w:rsidR="00860F4E" w:rsidRPr="00860F4E" w:rsidRDefault="00860F4E" w:rsidP="00854C85">
      <w:pPr>
        <w:spacing w:after="200"/>
      </w:pPr>
    </w:p>
    <w:sectPr w:rsidR="00860F4E" w:rsidRPr="00860F4E" w:rsidSect="00FC79A1">
      <w:type w:val="continuous"/>
      <w:pgSz w:w="11907" w:h="16840" w:code="9"/>
      <w:pgMar w:top="1135" w:right="1304" w:bottom="70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9A1" w:rsidRDefault="00FC79A1" w:rsidP="00A4382C">
      <w:pPr>
        <w:spacing w:line="240" w:lineRule="auto"/>
      </w:pPr>
      <w:r>
        <w:separator/>
      </w:r>
    </w:p>
  </w:endnote>
  <w:endnote w:type="continuationSeparator" w:id="0">
    <w:p w:rsidR="00FC79A1" w:rsidRDefault="00FC79A1"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A1" w:rsidRDefault="00FC7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A1" w:rsidRDefault="00FC7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578251"/>
      <w:docPartObj>
        <w:docPartGallery w:val="Page Numbers (Bottom of Page)"/>
        <w:docPartUnique/>
      </w:docPartObj>
    </w:sdtPr>
    <w:sdtEndPr>
      <w:rPr>
        <w:noProof/>
      </w:rPr>
    </w:sdtEndPr>
    <w:sdtContent>
      <w:p w:rsidR="00FC79A1" w:rsidRDefault="00FC79A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C79A1" w:rsidRDefault="00FC79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A1" w:rsidRDefault="00FC79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980452"/>
      <w:docPartObj>
        <w:docPartGallery w:val="Page Numbers (Bottom of Page)"/>
        <w:docPartUnique/>
      </w:docPartObj>
    </w:sdtPr>
    <w:sdtContent>
      <w:sdt>
        <w:sdtPr>
          <w:id w:val="-1769616900"/>
          <w:docPartObj>
            <w:docPartGallery w:val="Page Numbers (Top of Page)"/>
            <w:docPartUnique/>
          </w:docPartObj>
        </w:sdtPr>
        <w:sdtContent>
          <w:p w:rsidR="00FC79A1" w:rsidRDefault="00FC79A1" w:rsidP="006A216D">
            <w:pPr>
              <w:pStyle w:val="Footer"/>
              <w:jc w:val="center"/>
            </w:pPr>
          </w:p>
          <w:p w:rsidR="00FC79A1" w:rsidRDefault="00FC79A1" w:rsidP="00FA3EC0">
            <w:pPr>
              <w:pStyle w:val="Footer"/>
              <w:pBdr>
                <w:top w:val="thinThickSmallGap" w:sz="24" w:space="1" w:color="622423" w:themeColor="accent2" w:themeShade="7F"/>
              </w:pBdr>
              <w:spacing w:before="240"/>
            </w:pPr>
          </w:p>
        </w:sdtContent>
      </w:sdt>
    </w:sdtContent>
  </w:sdt>
  <w:p w:rsidR="00FC79A1" w:rsidRPr="00FA3EC0" w:rsidRDefault="00FC79A1" w:rsidP="00490B43">
    <w:pPr>
      <w:pStyle w:val="Footer"/>
      <w:pBdr>
        <w:top w:val="thinThickSmallGap" w:sz="24" w:space="1" w:color="622423" w:themeColor="accent2" w:themeShade="7F"/>
      </w:pBdr>
      <w:spacing w:line="240" w:lineRule="auto"/>
      <w:rPr>
        <w:rFonts w:ascii="Arial" w:eastAsiaTheme="majorEastAsia" w:hAnsi="Arial" w:cs="Arial"/>
        <w:sz w:val="20"/>
        <w:szCs w:val="20"/>
      </w:rPr>
    </w:pPr>
    <w:r w:rsidRPr="00FA3EC0">
      <w:rPr>
        <w:rFonts w:ascii="Arial" w:eastAsiaTheme="majorEastAsia" w:hAnsi="Arial" w:cs="Arial"/>
        <w:sz w:val="20"/>
        <w:szCs w:val="20"/>
      </w:rPr>
      <w:t>Government of Western Australia – Submission to the 201</w:t>
    </w:r>
    <w:r>
      <w:rPr>
        <w:rFonts w:ascii="Arial" w:eastAsiaTheme="majorEastAsia" w:hAnsi="Arial" w:cs="Arial"/>
        <w:sz w:val="20"/>
        <w:szCs w:val="20"/>
      </w:rPr>
      <w:t>9</w:t>
    </w:r>
    <w:r w:rsidRPr="00FA3EC0">
      <w:rPr>
        <w:rFonts w:ascii="Arial" w:eastAsiaTheme="majorEastAsia" w:hAnsi="Arial" w:cs="Arial"/>
        <w:sz w:val="20"/>
        <w:szCs w:val="20"/>
      </w:rPr>
      <w:t>-</w:t>
    </w:r>
    <w:r>
      <w:rPr>
        <w:rFonts w:ascii="Arial" w:eastAsiaTheme="majorEastAsia" w:hAnsi="Arial" w:cs="Arial"/>
        <w:sz w:val="20"/>
        <w:szCs w:val="20"/>
      </w:rPr>
      <w:t>20</w:t>
    </w:r>
    <w:r w:rsidRPr="00FA3EC0">
      <w:rPr>
        <w:rFonts w:ascii="Arial" w:eastAsiaTheme="majorEastAsia" w:hAnsi="Arial" w:cs="Arial"/>
        <w:sz w:val="20"/>
        <w:szCs w:val="20"/>
      </w:rPr>
      <w:t xml:space="preserve"> Annual Wage Review</w:t>
    </w:r>
    <w:r w:rsidRPr="00FA3EC0">
      <w:rPr>
        <w:rFonts w:ascii="Arial" w:eastAsiaTheme="majorEastAsia" w:hAnsi="Arial" w:cs="Arial"/>
        <w:sz w:val="20"/>
        <w:szCs w:val="20"/>
      </w:rPr>
      <w:ptab w:relativeTo="margin" w:alignment="right" w:leader="none"/>
    </w:r>
    <w:r w:rsidRPr="00FA3EC0">
      <w:rPr>
        <w:rFonts w:ascii="Arial" w:eastAsiaTheme="majorEastAsia" w:hAnsi="Arial" w:cs="Arial"/>
        <w:sz w:val="20"/>
        <w:szCs w:val="20"/>
      </w:rPr>
      <w:t xml:space="preserve"> Page</w:t>
    </w:r>
    <w:r>
      <w:rPr>
        <w:rFonts w:ascii="Arial" w:eastAsiaTheme="majorEastAsia" w:hAnsi="Arial" w:cs="Arial"/>
        <w:sz w:val="20"/>
        <w:szCs w:val="20"/>
      </w:rPr>
      <w:t xml:space="preserve"> </w:t>
    </w:r>
    <w:r w:rsidRPr="007924A1">
      <w:rPr>
        <w:rFonts w:ascii="Arial" w:eastAsiaTheme="majorEastAsia" w:hAnsi="Arial" w:cs="Arial"/>
        <w:sz w:val="20"/>
        <w:szCs w:val="20"/>
      </w:rPr>
      <w:fldChar w:fldCharType="begin"/>
    </w:r>
    <w:r w:rsidRPr="007924A1">
      <w:rPr>
        <w:rFonts w:ascii="Arial" w:eastAsiaTheme="majorEastAsia" w:hAnsi="Arial" w:cs="Arial"/>
        <w:sz w:val="20"/>
        <w:szCs w:val="20"/>
      </w:rPr>
      <w:instrText xml:space="preserve"> PAGE   \* MERGEFORMAT </w:instrText>
    </w:r>
    <w:r w:rsidRPr="007924A1">
      <w:rPr>
        <w:rFonts w:ascii="Arial" w:eastAsiaTheme="majorEastAsia" w:hAnsi="Arial" w:cs="Arial"/>
        <w:sz w:val="20"/>
        <w:szCs w:val="20"/>
      </w:rPr>
      <w:fldChar w:fldCharType="separate"/>
    </w:r>
    <w:r w:rsidR="00B40BAE">
      <w:rPr>
        <w:rFonts w:ascii="Arial" w:eastAsiaTheme="majorEastAsia" w:hAnsi="Arial" w:cs="Arial"/>
        <w:noProof/>
        <w:sz w:val="20"/>
        <w:szCs w:val="20"/>
      </w:rPr>
      <w:t>1</w:t>
    </w:r>
    <w:r w:rsidRPr="007924A1">
      <w:rPr>
        <w:rFonts w:ascii="Arial" w:eastAsiaTheme="majorEastAsia" w:hAnsi="Arial" w:cs="Arial"/>
        <w:noProof/>
        <w:sz w:val="20"/>
        <w:szCs w:val="20"/>
      </w:rPr>
      <w:fldChar w:fldCharType="end"/>
    </w:r>
    <w:r>
      <w:rPr>
        <w:rFonts w:ascii="Arial" w:eastAsiaTheme="majorEastAsia" w:hAnsi="Arial" w:cs="Arial"/>
        <w:sz w:val="20"/>
        <w:szCs w:val="20"/>
      </w:rPr>
      <w:t xml:space="preserve"> </w:t>
    </w:r>
    <w:r w:rsidRPr="00FA3EC0">
      <w:rPr>
        <w:rFonts w:ascii="Arial" w:eastAsiaTheme="majorEastAsia" w:hAnsi="Arial" w:cs="Arial"/>
        <w:sz w:val="20"/>
        <w:szCs w:val="20"/>
      </w:rPr>
      <w:t xml:space="preserve"> </w:t>
    </w:r>
  </w:p>
  <w:p w:rsidR="00FC79A1" w:rsidRDefault="00FC79A1" w:rsidP="006A216D">
    <w:pPr>
      <w:pStyle w:val="Footer"/>
      <w:jc w:val="center"/>
    </w:pPr>
  </w:p>
  <w:p w:rsidR="00FC79A1" w:rsidRPr="00CC5FB3" w:rsidRDefault="00FC79A1" w:rsidP="00CC5FB3">
    <w:pPr>
      <w:pStyle w:val="Footer"/>
      <w:rPr>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A1" w:rsidRPr="0075253D" w:rsidRDefault="00FC79A1"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WA Government Submission to the 2020 Annual Wage Review</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20</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Content>
        <w:r>
          <w:rPr>
            <w:snapToGrid w:val="0"/>
            <w:szCs w:val="16"/>
          </w:rPr>
          <w:t>Departmental Use Only</w:t>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A1" w:rsidRDefault="00FC79A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848363"/>
      <w:docPartObj>
        <w:docPartGallery w:val="Page Numbers (Bottom of Page)"/>
        <w:docPartUnique/>
      </w:docPartObj>
    </w:sdtPr>
    <w:sdtContent>
      <w:sdt>
        <w:sdtPr>
          <w:id w:val="1586116944"/>
          <w:docPartObj>
            <w:docPartGallery w:val="Page Numbers (Top of Page)"/>
            <w:docPartUnique/>
          </w:docPartObj>
        </w:sdtPr>
        <w:sdtContent>
          <w:p w:rsidR="00FC79A1" w:rsidRDefault="00FC79A1" w:rsidP="006A216D">
            <w:pPr>
              <w:pStyle w:val="Footer"/>
              <w:jc w:val="center"/>
            </w:pPr>
          </w:p>
          <w:p w:rsidR="00FC79A1" w:rsidRDefault="00FC79A1" w:rsidP="006A216D">
            <w:pPr>
              <w:pStyle w:val="Footer"/>
              <w:jc w:val="center"/>
            </w:pPr>
          </w:p>
        </w:sdtContent>
      </w:sdt>
    </w:sdtContent>
  </w:sdt>
  <w:p w:rsidR="00FC79A1" w:rsidRPr="00CC5FB3" w:rsidRDefault="00FC79A1" w:rsidP="00CC5FB3">
    <w:pPr>
      <w:pStyle w:val="Footer"/>
      <w:rPr>
        <w:szCs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A1" w:rsidRPr="0075253D" w:rsidRDefault="00FC79A1"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WA Government Submission to the 2020 Annual Wage Review</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20</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222909574"/>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9A1" w:rsidRDefault="00FC79A1" w:rsidP="00A4382C">
      <w:pPr>
        <w:spacing w:line="240" w:lineRule="auto"/>
      </w:pPr>
      <w:r>
        <w:separator/>
      </w:r>
    </w:p>
  </w:footnote>
  <w:footnote w:type="continuationSeparator" w:id="0">
    <w:p w:rsidR="00FC79A1" w:rsidRDefault="00FC79A1" w:rsidP="00A4382C">
      <w:pPr>
        <w:spacing w:line="240" w:lineRule="auto"/>
      </w:pPr>
      <w:r>
        <w:continuationSeparator/>
      </w:r>
    </w:p>
  </w:footnote>
  <w:footnote w:id="1">
    <w:p w:rsidR="00FC79A1" w:rsidRPr="00E406B2" w:rsidRDefault="00FC79A1" w:rsidP="003E5706">
      <w:pPr>
        <w:pStyle w:val="FootnoteText"/>
        <w:ind w:left="284" w:hanging="284"/>
        <w:jc w:val="both"/>
        <w:rPr>
          <w:rFonts w:ascii="Arial" w:hAnsi="Arial" w:cs="Arial"/>
        </w:rPr>
      </w:pPr>
      <w:r w:rsidRPr="00E406B2">
        <w:rPr>
          <w:rStyle w:val="FootnoteReference"/>
          <w:rFonts w:ascii="Arial" w:hAnsi="Arial" w:cs="Arial"/>
        </w:rPr>
        <w:footnoteRef/>
      </w:r>
      <w:r w:rsidRPr="00E406B2">
        <w:rPr>
          <w:rFonts w:ascii="Arial" w:hAnsi="Arial" w:cs="Arial"/>
        </w:rPr>
        <w:t xml:space="preserve"> </w:t>
      </w:r>
      <w:r w:rsidRPr="00E406B2">
        <w:rPr>
          <w:rFonts w:ascii="Arial" w:hAnsi="Arial" w:cs="Arial"/>
        </w:rPr>
        <w:tab/>
        <w:t xml:space="preserve">Section 134 of the </w:t>
      </w:r>
      <w:r w:rsidRPr="00E406B2">
        <w:rPr>
          <w:rFonts w:ascii="Arial" w:hAnsi="Arial" w:cs="Arial"/>
          <w:i/>
        </w:rPr>
        <w:t>Fair Work Act 2009</w:t>
      </w:r>
      <w:r w:rsidRPr="00E406B2">
        <w:rPr>
          <w:rFonts w:ascii="Arial" w:hAnsi="Arial" w:cs="Arial"/>
        </w:rPr>
        <w:t>.</w:t>
      </w:r>
    </w:p>
  </w:footnote>
  <w:footnote w:id="2">
    <w:p w:rsidR="00FC79A1" w:rsidRPr="00E406B2" w:rsidRDefault="00FC79A1" w:rsidP="003E5706">
      <w:pPr>
        <w:pStyle w:val="FootnoteText"/>
        <w:spacing w:before="60"/>
        <w:ind w:left="284" w:hanging="284"/>
        <w:rPr>
          <w:rFonts w:asciiTheme="minorHAnsi" w:hAnsiTheme="minorHAnsi" w:cstheme="minorHAnsi"/>
        </w:rPr>
      </w:pPr>
      <w:r w:rsidRPr="00E406B2">
        <w:rPr>
          <w:rStyle w:val="FootnoteReference"/>
          <w:rFonts w:asciiTheme="minorHAnsi" w:hAnsiTheme="minorHAnsi" w:cstheme="minorHAnsi"/>
        </w:rPr>
        <w:footnoteRef/>
      </w:r>
      <w:r w:rsidRPr="00E406B2">
        <w:rPr>
          <w:rFonts w:asciiTheme="minorHAnsi" w:hAnsiTheme="minorHAnsi" w:cstheme="minorHAnsi"/>
        </w:rPr>
        <w:t xml:space="preserve"> </w:t>
      </w:r>
      <w:r w:rsidRPr="00E406B2">
        <w:rPr>
          <w:rFonts w:asciiTheme="minorHAnsi" w:hAnsiTheme="minorHAnsi" w:cstheme="minorHAnsi"/>
        </w:rPr>
        <w:tab/>
        <w:t xml:space="preserve">Section 578(a) of the </w:t>
      </w:r>
      <w:r w:rsidRPr="00E406B2">
        <w:rPr>
          <w:rFonts w:asciiTheme="minorHAnsi" w:hAnsiTheme="minorHAnsi" w:cstheme="minorHAnsi"/>
          <w:i/>
        </w:rPr>
        <w:t>Fair Work Act 2009</w:t>
      </w:r>
      <w:r w:rsidRPr="00E406B2">
        <w:rPr>
          <w:rFonts w:asciiTheme="minorHAnsi" w:hAnsiTheme="minorHAnsi" w:cstheme="minorHAnsi"/>
        </w:rPr>
        <w:t>.</w:t>
      </w:r>
    </w:p>
  </w:footnote>
  <w:footnote w:id="3">
    <w:p w:rsidR="00FC79A1" w:rsidRPr="00E406B2" w:rsidRDefault="00FC79A1" w:rsidP="00490B43">
      <w:pPr>
        <w:pStyle w:val="FootnoteText"/>
        <w:ind w:left="284" w:hanging="284"/>
        <w:jc w:val="both"/>
        <w:rPr>
          <w:rFonts w:asciiTheme="minorHAnsi" w:hAnsiTheme="minorHAnsi" w:cstheme="minorHAnsi"/>
        </w:rPr>
      </w:pPr>
      <w:r w:rsidRPr="00E406B2">
        <w:rPr>
          <w:rStyle w:val="FootnoteReference"/>
          <w:rFonts w:asciiTheme="minorHAnsi" w:hAnsiTheme="minorHAnsi" w:cstheme="minorHAnsi"/>
        </w:rPr>
        <w:footnoteRef/>
      </w:r>
      <w:r w:rsidRPr="00E406B2">
        <w:rPr>
          <w:rFonts w:asciiTheme="minorHAnsi" w:hAnsiTheme="minorHAnsi" w:cstheme="minorHAnsi"/>
        </w:rPr>
        <w:t xml:space="preserve"> </w:t>
      </w:r>
      <w:r w:rsidRPr="00E406B2">
        <w:rPr>
          <w:rFonts w:asciiTheme="minorHAnsi" w:hAnsiTheme="minorHAnsi" w:cstheme="minorHAnsi"/>
        </w:rPr>
        <w:tab/>
        <w:t>Australian Bureau of Statistics (ABS)(20</w:t>
      </w:r>
      <w:r>
        <w:rPr>
          <w:rFonts w:asciiTheme="minorHAnsi" w:hAnsiTheme="minorHAnsi" w:cstheme="minorHAnsi"/>
        </w:rPr>
        <w:t>20</w:t>
      </w:r>
      <w:r w:rsidRPr="00E406B2">
        <w:rPr>
          <w:rFonts w:asciiTheme="minorHAnsi" w:hAnsiTheme="minorHAnsi" w:cstheme="minorHAnsi"/>
        </w:rPr>
        <w:t xml:space="preserve">), </w:t>
      </w:r>
      <w:r w:rsidRPr="00E406B2">
        <w:rPr>
          <w:rFonts w:asciiTheme="minorHAnsi" w:hAnsiTheme="minorHAnsi" w:cstheme="minorHAnsi"/>
          <w:i/>
        </w:rPr>
        <w:t>Australian National Accounts: National Income, Expenditure and Product</w:t>
      </w:r>
      <w:r w:rsidRPr="00E406B2">
        <w:rPr>
          <w:rFonts w:asciiTheme="minorHAnsi" w:hAnsiTheme="minorHAnsi" w:cstheme="minorHAnsi"/>
        </w:rPr>
        <w:t xml:space="preserve">, </w:t>
      </w:r>
      <w:r>
        <w:rPr>
          <w:rFonts w:asciiTheme="minorHAnsi" w:hAnsiTheme="minorHAnsi" w:cstheme="minorHAnsi"/>
        </w:rPr>
        <w:t>December</w:t>
      </w:r>
      <w:r w:rsidRPr="00E406B2">
        <w:rPr>
          <w:rFonts w:asciiTheme="minorHAnsi" w:hAnsiTheme="minorHAnsi" w:cstheme="minorHAnsi"/>
        </w:rPr>
        <w:t xml:space="preserve"> 2019, Catalogue 5206.0.</w:t>
      </w:r>
    </w:p>
  </w:footnote>
  <w:footnote w:id="4">
    <w:p w:rsidR="00FC79A1" w:rsidRPr="00E406B2" w:rsidRDefault="00FC79A1" w:rsidP="006F6882">
      <w:pPr>
        <w:pStyle w:val="FootnoteText"/>
        <w:spacing w:before="60"/>
        <w:ind w:left="284" w:hanging="284"/>
        <w:rPr>
          <w:rFonts w:asciiTheme="minorHAnsi" w:hAnsiTheme="minorHAnsi" w:cstheme="minorHAnsi"/>
        </w:rPr>
      </w:pPr>
      <w:r w:rsidRPr="00E406B2">
        <w:rPr>
          <w:rStyle w:val="FootnoteReference"/>
          <w:rFonts w:asciiTheme="minorHAnsi" w:hAnsiTheme="minorHAnsi" w:cstheme="minorHAnsi"/>
        </w:rPr>
        <w:footnoteRef/>
      </w:r>
      <w:r w:rsidRPr="00E406B2">
        <w:rPr>
          <w:rFonts w:asciiTheme="minorHAnsi" w:hAnsiTheme="minorHAnsi" w:cstheme="minorHAnsi"/>
        </w:rPr>
        <w:tab/>
        <w:t>Ibid.</w:t>
      </w:r>
    </w:p>
  </w:footnote>
  <w:footnote w:id="5">
    <w:p w:rsidR="00FC79A1" w:rsidRPr="00E406B2" w:rsidRDefault="00FC79A1" w:rsidP="006F6882">
      <w:pPr>
        <w:pStyle w:val="FootnoteText"/>
        <w:spacing w:before="60"/>
        <w:ind w:left="284" w:hanging="284"/>
        <w:rPr>
          <w:rFonts w:asciiTheme="minorHAnsi" w:hAnsiTheme="minorHAnsi" w:cstheme="minorHAnsi"/>
        </w:rPr>
      </w:pPr>
      <w:r w:rsidRPr="00E406B2">
        <w:rPr>
          <w:rStyle w:val="FootnoteReference"/>
          <w:rFonts w:asciiTheme="minorHAnsi" w:hAnsiTheme="minorHAnsi" w:cstheme="minorHAnsi"/>
        </w:rPr>
        <w:footnoteRef/>
      </w:r>
      <w:r w:rsidRPr="00E406B2">
        <w:rPr>
          <w:rFonts w:asciiTheme="minorHAnsi" w:hAnsiTheme="minorHAnsi" w:cstheme="minorHAnsi"/>
        </w:rPr>
        <w:tab/>
        <w:t>Ibid.</w:t>
      </w:r>
    </w:p>
  </w:footnote>
  <w:footnote w:id="6">
    <w:p w:rsidR="00FC79A1" w:rsidRPr="00E406B2" w:rsidRDefault="00FC79A1" w:rsidP="006F6882">
      <w:pPr>
        <w:pStyle w:val="FootnoteText"/>
        <w:spacing w:before="60"/>
        <w:ind w:left="284" w:hanging="284"/>
        <w:rPr>
          <w:rFonts w:asciiTheme="minorHAnsi" w:hAnsiTheme="minorHAnsi" w:cstheme="minorHAnsi"/>
        </w:rPr>
      </w:pPr>
      <w:r w:rsidRPr="00E406B2">
        <w:rPr>
          <w:rStyle w:val="FootnoteReference"/>
          <w:rFonts w:asciiTheme="minorHAnsi" w:hAnsiTheme="minorHAnsi" w:cstheme="minorHAnsi"/>
        </w:rPr>
        <w:footnoteRef/>
      </w:r>
      <w:r w:rsidRPr="00E406B2">
        <w:rPr>
          <w:rFonts w:asciiTheme="minorHAnsi" w:hAnsiTheme="minorHAnsi" w:cstheme="minorHAnsi"/>
        </w:rPr>
        <w:tab/>
        <w:t>Ibid.</w:t>
      </w:r>
    </w:p>
  </w:footnote>
  <w:footnote w:id="7">
    <w:p w:rsidR="00FC79A1" w:rsidRPr="00E406B2" w:rsidRDefault="00FC79A1" w:rsidP="006F6882">
      <w:pPr>
        <w:pStyle w:val="FootnoteText"/>
        <w:spacing w:before="60"/>
        <w:ind w:left="284" w:hanging="284"/>
        <w:rPr>
          <w:rFonts w:asciiTheme="minorHAnsi" w:hAnsiTheme="minorHAnsi" w:cstheme="minorHAnsi"/>
        </w:rPr>
      </w:pPr>
      <w:r w:rsidRPr="00E406B2">
        <w:rPr>
          <w:rStyle w:val="FootnoteReference"/>
          <w:rFonts w:asciiTheme="minorHAnsi" w:hAnsiTheme="minorHAnsi" w:cstheme="minorHAnsi"/>
        </w:rPr>
        <w:footnoteRef/>
      </w:r>
      <w:r w:rsidRPr="00E406B2">
        <w:rPr>
          <w:rFonts w:asciiTheme="minorHAnsi" w:hAnsiTheme="minorHAnsi" w:cstheme="minorHAnsi"/>
        </w:rPr>
        <w:tab/>
        <w:t>Ibid.</w:t>
      </w:r>
    </w:p>
  </w:footnote>
  <w:footnote w:id="8">
    <w:p w:rsidR="00FC79A1" w:rsidRPr="00E406B2" w:rsidRDefault="00FC79A1" w:rsidP="007B6DAA">
      <w:pPr>
        <w:pStyle w:val="FootnoteText"/>
        <w:spacing w:before="60"/>
        <w:ind w:left="284" w:hanging="284"/>
        <w:rPr>
          <w:rFonts w:asciiTheme="minorHAnsi" w:hAnsiTheme="minorHAnsi" w:cstheme="minorHAnsi"/>
        </w:rPr>
      </w:pPr>
      <w:r w:rsidRPr="00E406B2">
        <w:rPr>
          <w:rStyle w:val="FootnoteReference"/>
          <w:rFonts w:asciiTheme="minorHAnsi" w:hAnsiTheme="minorHAnsi" w:cstheme="minorHAnsi"/>
        </w:rPr>
        <w:footnoteRef/>
      </w:r>
      <w:r w:rsidRPr="00E406B2">
        <w:rPr>
          <w:rFonts w:asciiTheme="minorHAnsi" w:hAnsiTheme="minorHAnsi" w:cstheme="minorHAnsi"/>
        </w:rPr>
        <w:t xml:space="preserve"> </w:t>
      </w:r>
      <w:r w:rsidRPr="00E406B2">
        <w:rPr>
          <w:rFonts w:asciiTheme="minorHAnsi" w:hAnsiTheme="minorHAnsi" w:cstheme="minorHAnsi"/>
        </w:rPr>
        <w:tab/>
      </w:r>
      <w:r w:rsidRPr="00E406B2">
        <w:rPr>
          <w:rFonts w:ascii="Arial" w:hAnsi="Arial" w:cs="Arial"/>
        </w:rPr>
        <w:t xml:space="preserve">ABS (2020), </w:t>
      </w:r>
      <w:r w:rsidRPr="00E406B2">
        <w:rPr>
          <w:rFonts w:ascii="Arial" w:hAnsi="Arial" w:cs="Arial"/>
          <w:i/>
        </w:rPr>
        <w:t xml:space="preserve">Labour Force, Australia, </w:t>
      </w:r>
      <w:r>
        <w:rPr>
          <w:rFonts w:ascii="Arial" w:hAnsi="Arial" w:cs="Arial"/>
          <w:i/>
        </w:rPr>
        <w:t xml:space="preserve">February </w:t>
      </w:r>
      <w:r w:rsidRPr="00E406B2">
        <w:rPr>
          <w:rFonts w:ascii="Arial" w:hAnsi="Arial" w:cs="Arial"/>
          <w:i/>
        </w:rPr>
        <w:t>20</w:t>
      </w:r>
      <w:r>
        <w:rPr>
          <w:rFonts w:ascii="Arial" w:hAnsi="Arial" w:cs="Arial"/>
          <w:i/>
        </w:rPr>
        <w:t>20</w:t>
      </w:r>
      <w:r w:rsidRPr="00E406B2">
        <w:rPr>
          <w:rFonts w:ascii="Arial" w:hAnsi="Arial" w:cs="Arial"/>
        </w:rPr>
        <w:t>, Catalogue 6202.0 (seasonally adjusted data).</w:t>
      </w:r>
    </w:p>
  </w:footnote>
  <w:footnote w:id="9">
    <w:p w:rsidR="00FC79A1" w:rsidRPr="00E406B2" w:rsidRDefault="00FC79A1" w:rsidP="007B6DAA">
      <w:pPr>
        <w:pStyle w:val="FootnoteText"/>
        <w:spacing w:before="60"/>
        <w:ind w:left="284" w:hanging="284"/>
        <w:rPr>
          <w:rFonts w:asciiTheme="minorHAnsi" w:hAnsiTheme="minorHAnsi" w:cstheme="minorHAnsi"/>
        </w:rPr>
      </w:pPr>
      <w:r w:rsidRPr="00E406B2">
        <w:rPr>
          <w:rStyle w:val="FootnoteReference"/>
          <w:rFonts w:asciiTheme="minorHAnsi" w:hAnsiTheme="minorHAnsi" w:cstheme="minorHAnsi"/>
        </w:rPr>
        <w:footnoteRef/>
      </w:r>
      <w:r w:rsidRPr="00E406B2">
        <w:rPr>
          <w:rFonts w:asciiTheme="minorHAnsi" w:hAnsiTheme="minorHAnsi" w:cstheme="minorHAnsi"/>
        </w:rPr>
        <w:t xml:space="preserve"> </w:t>
      </w:r>
      <w:r w:rsidRPr="00E406B2">
        <w:rPr>
          <w:rFonts w:asciiTheme="minorHAnsi" w:hAnsiTheme="minorHAnsi" w:cstheme="minorHAnsi"/>
        </w:rPr>
        <w:tab/>
        <w:t>Ibid.</w:t>
      </w:r>
    </w:p>
  </w:footnote>
  <w:footnote w:id="10">
    <w:p w:rsidR="00FC79A1" w:rsidRPr="00E406B2" w:rsidRDefault="00FC79A1" w:rsidP="007B6DAA">
      <w:pPr>
        <w:pStyle w:val="FootnoteText"/>
        <w:spacing w:before="60"/>
        <w:ind w:left="284" w:hanging="284"/>
        <w:rPr>
          <w:rFonts w:asciiTheme="minorHAnsi" w:hAnsiTheme="minorHAnsi" w:cstheme="minorHAnsi"/>
        </w:rPr>
      </w:pPr>
      <w:r w:rsidRPr="00E406B2">
        <w:rPr>
          <w:rStyle w:val="FootnoteReference"/>
          <w:rFonts w:asciiTheme="minorHAnsi" w:hAnsiTheme="minorHAnsi" w:cstheme="minorHAnsi"/>
        </w:rPr>
        <w:footnoteRef/>
      </w:r>
      <w:r w:rsidRPr="00E406B2">
        <w:rPr>
          <w:rFonts w:asciiTheme="minorHAnsi" w:hAnsiTheme="minorHAnsi" w:cstheme="minorHAnsi"/>
        </w:rPr>
        <w:t xml:space="preserve"> </w:t>
      </w:r>
      <w:r w:rsidRPr="00E406B2">
        <w:rPr>
          <w:rFonts w:asciiTheme="minorHAnsi" w:hAnsiTheme="minorHAnsi" w:cstheme="minorHAnsi"/>
        </w:rPr>
        <w:tab/>
        <w:t>Ibid.</w:t>
      </w:r>
    </w:p>
  </w:footnote>
  <w:footnote w:id="11">
    <w:p w:rsidR="00FC79A1" w:rsidRPr="00E406B2" w:rsidRDefault="00FC79A1" w:rsidP="007B6DAA">
      <w:pPr>
        <w:pStyle w:val="FootnoteText"/>
        <w:spacing w:before="60"/>
        <w:ind w:left="284" w:hanging="284"/>
        <w:rPr>
          <w:rFonts w:asciiTheme="minorHAnsi" w:hAnsiTheme="minorHAnsi" w:cstheme="minorHAnsi"/>
        </w:rPr>
      </w:pPr>
      <w:r w:rsidRPr="00E406B2">
        <w:rPr>
          <w:rStyle w:val="FootnoteReference"/>
          <w:rFonts w:asciiTheme="minorHAnsi" w:hAnsiTheme="minorHAnsi" w:cstheme="minorHAnsi"/>
        </w:rPr>
        <w:footnoteRef/>
      </w:r>
      <w:r w:rsidRPr="00E406B2">
        <w:rPr>
          <w:rFonts w:asciiTheme="minorHAnsi" w:hAnsiTheme="minorHAnsi" w:cstheme="minorHAnsi"/>
        </w:rPr>
        <w:t xml:space="preserve"> </w:t>
      </w:r>
      <w:r w:rsidRPr="00E406B2">
        <w:rPr>
          <w:rFonts w:asciiTheme="minorHAnsi" w:hAnsiTheme="minorHAnsi" w:cstheme="minorHAnsi"/>
        </w:rPr>
        <w:tab/>
      </w:r>
      <w:r w:rsidRPr="00E406B2">
        <w:rPr>
          <w:rFonts w:ascii="Arial" w:hAnsi="Arial" w:cs="Arial"/>
        </w:rPr>
        <w:t xml:space="preserve">ABS (2020), </w:t>
      </w:r>
      <w:r w:rsidRPr="00E406B2">
        <w:rPr>
          <w:rFonts w:ascii="Arial" w:hAnsi="Arial" w:cs="Arial"/>
          <w:i/>
        </w:rPr>
        <w:t>Consumer Price Index, Australia, December 2019</w:t>
      </w:r>
      <w:r w:rsidRPr="00E406B2">
        <w:rPr>
          <w:rFonts w:ascii="Arial" w:hAnsi="Arial" w:cs="Arial"/>
        </w:rPr>
        <w:t>, Catalogue 6401.0 (all capital cities).</w:t>
      </w:r>
    </w:p>
  </w:footnote>
  <w:footnote w:id="12">
    <w:p w:rsidR="00FC79A1" w:rsidRPr="00E406B2" w:rsidRDefault="00FC79A1" w:rsidP="002E3D4E">
      <w:pPr>
        <w:pStyle w:val="FootnoteText"/>
        <w:ind w:left="284" w:hanging="284"/>
        <w:rPr>
          <w:rFonts w:asciiTheme="minorHAnsi" w:hAnsiTheme="minorHAnsi" w:cstheme="minorHAnsi"/>
        </w:rPr>
      </w:pPr>
      <w:r w:rsidRPr="00E406B2">
        <w:rPr>
          <w:rStyle w:val="FootnoteReference"/>
          <w:rFonts w:asciiTheme="minorHAnsi" w:hAnsiTheme="minorHAnsi" w:cstheme="minorHAnsi"/>
        </w:rPr>
        <w:footnoteRef/>
      </w:r>
      <w:r w:rsidRPr="00E406B2">
        <w:rPr>
          <w:rFonts w:asciiTheme="minorHAnsi" w:hAnsiTheme="minorHAnsi" w:cstheme="minorHAnsi"/>
        </w:rPr>
        <w:t xml:space="preserve"> </w:t>
      </w:r>
      <w:r w:rsidRPr="00E406B2">
        <w:rPr>
          <w:rFonts w:asciiTheme="minorHAnsi" w:hAnsiTheme="minorHAnsi" w:cstheme="minorHAnsi"/>
        </w:rPr>
        <w:tab/>
      </w:r>
      <w:r w:rsidRPr="00E406B2">
        <w:rPr>
          <w:rFonts w:ascii="Arial" w:hAnsi="Arial" w:cs="Arial"/>
        </w:rPr>
        <w:t>ABS (20</w:t>
      </w:r>
      <w:r>
        <w:rPr>
          <w:rFonts w:ascii="Arial" w:hAnsi="Arial" w:cs="Arial"/>
        </w:rPr>
        <w:t>20</w:t>
      </w:r>
      <w:r w:rsidRPr="00E406B2">
        <w:rPr>
          <w:rFonts w:ascii="Arial" w:hAnsi="Arial" w:cs="Arial"/>
        </w:rPr>
        <w:t xml:space="preserve">), </w:t>
      </w:r>
      <w:r w:rsidRPr="00E406B2">
        <w:rPr>
          <w:rFonts w:ascii="Arial" w:hAnsi="Arial" w:cs="Arial"/>
          <w:i/>
        </w:rPr>
        <w:t xml:space="preserve">Wage Price Index, Australia, </w:t>
      </w:r>
      <w:r>
        <w:rPr>
          <w:rFonts w:ascii="Arial" w:hAnsi="Arial" w:cs="Arial"/>
          <w:i/>
        </w:rPr>
        <w:t>December</w:t>
      </w:r>
      <w:r w:rsidRPr="00E406B2">
        <w:rPr>
          <w:rFonts w:ascii="Arial" w:hAnsi="Arial" w:cs="Arial"/>
          <w:i/>
        </w:rPr>
        <w:t xml:space="preserve"> 2019</w:t>
      </w:r>
      <w:r w:rsidRPr="00E406B2">
        <w:rPr>
          <w:rFonts w:ascii="Arial" w:hAnsi="Arial" w:cs="Arial"/>
        </w:rPr>
        <w:t>, Catalogue 6345.0 (all sectors).</w:t>
      </w:r>
    </w:p>
  </w:footnote>
  <w:footnote w:id="13">
    <w:p w:rsidR="00FC79A1" w:rsidRPr="00E406B2" w:rsidRDefault="00FC79A1" w:rsidP="00A666D9">
      <w:pPr>
        <w:pStyle w:val="FootnoteText"/>
        <w:spacing w:before="60"/>
        <w:ind w:left="284" w:hanging="284"/>
        <w:jc w:val="both"/>
        <w:rPr>
          <w:rFonts w:asciiTheme="minorHAnsi" w:hAnsiTheme="minorHAnsi" w:cstheme="minorHAnsi"/>
        </w:rPr>
      </w:pPr>
      <w:r w:rsidRPr="00E406B2">
        <w:rPr>
          <w:rStyle w:val="FootnoteReference"/>
          <w:rFonts w:asciiTheme="minorHAnsi" w:hAnsiTheme="minorHAnsi" w:cstheme="minorHAnsi"/>
        </w:rPr>
        <w:footnoteRef/>
      </w:r>
      <w:r w:rsidRPr="00E406B2">
        <w:rPr>
          <w:rFonts w:asciiTheme="minorHAnsi" w:hAnsiTheme="minorHAnsi" w:cstheme="minorHAnsi"/>
        </w:rPr>
        <w:t xml:space="preserve"> </w:t>
      </w:r>
      <w:r w:rsidRPr="00E406B2">
        <w:rPr>
          <w:rFonts w:asciiTheme="minorHAnsi" w:hAnsiTheme="minorHAnsi" w:cstheme="minorHAnsi"/>
        </w:rPr>
        <w:tab/>
        <w:t>ABS (2019)</w:t>
      </w:r>
      <w:r>
        <w:rPr>
          <w:rFonts w:asciiTheme="minorHAnsi" w:hAnsiTheme="minorHAnsi" w:cstheme="minorHAnsi"/>
        </w:rPr>
        <w:t>,</w:t>
      </w:r>
      <w:r w:rsidRPr="00E406B2">
        <w:rPr>
          <w:rFonts w:asciiTheme="minorHAnsi" w:hAnsiTheme="minorHAnsi" w:cstheme="minorHAnsi"/>
        </w:rPr>
        <w:t xml:space="preserve"> </w:t>
      </w:r>
      <w:r w:rsidRPr="00E406B2">
        <w:rPr>
          <w:rFonts w:asciiTheme="minorHAnsi" w:hAnsiTheme="minorHAnsi" w:cstheme="minorHAnsi"/>
          <w:i/>
        </w:rPr>
        <w:t>Employee, Earnings and Hours, Australia</w:t>
      </w:r>
      <w:r w:rsidRPr="00E406B2">
        <w:rPr>
          <w:rFonts w:asciiTheme="minorHAnsi" w:hAnsiTheme="minorHAnsi" w:cstheme="minorHAnsi"/>
        </w:rPr>
        <w:t xml:space="preserve">, </w:t>
      </w:r>
      <w:r w:rsidRPr="00E406B2">
        <w:rPr>
          <w:rFonts w:asciiTheme="minorHAnsi" w:hAnsiTheme="minorHAnsi" w:cstheme="minorHAnsi"/>
          <w:i/>
        </w:rPr>
        <w:t>May 2018</w:t>
      </w:r>
      <w:r w:rsidRPr="00E406B2">
        <w:rPr>
          <w:rFonts w:asciiTheme="minorHAnsi" w:hAnsiTheme="minorHAnsi" w:cstheme="minorHAnsi"/>
        </w:rPr>
        <w:t xml:space="preserve"> and ABS (2017) </w:t>
      </w:r>
      <w:r w:rsidRPr="00E406B2">
        <w:rPr>
          <w:rFonts w:asciiTheme="minorHAnsi" w:hAnsiTheme="minorHAnsi" w:cstheme="minorHAnsi"/>
          <w:i/>
        </w:rPr>
        <w:t>Employee Earnings and Hours, Australia, May 2016</w:t>
      </w:r>
      <w:r w:rsidRPr="00E406B2">
        <w:rPr>
          <w:rFonts w:asciiTheme="minorHAnsi" w:hAnsiTheme="minorHAnsi" w:cstheme="minorHAnsi"/>
        </w:rPr>
        <w:t>.</w:t>
      </w:r>
    </w:p>
  </w:footnote>
  <w:footnote w:id="14">
    <w:p w:rsidR="00FC79A1" w:rsidRPr="00E406B2" w:rsidRDefault="00FC79A1" w:rsidP="006B50B1">
      <w:pPr>
        <w:pStyle w:val="FootnoteText"/>
        <w:spacing w:before="60"/>
        <w:ind w:left="284" w:hanging="284"/>
        <w:jc w:val="both"/>
        <w:rPr>
          <w:rFonts w:ascii="Arial" w:hAnsi="Arial" w:cs="Arial"/>
        </w:rPr>
      </w:pPr>
      <w:r w:rsidRPr="00E406B2">
        <w:rPr>
          <w:rStyle w:val="FootnoteReference"/>
          <w:rFonts w:ascii="Arial" w:hAnsi="Arial" w:cs="Arial"/>
        </w:rPr>
        <w:footnoteRef/>
      </w:r>
      <w:r w:rsidRPr="00E406B2">
        <w:rPr>
          <w:rFonts w:ascii="Arial" w:hAnsi="Arial" w:cs="Arial"/>
        </w:rPr>
        <w:t xml:space="preserve"> </w:t>
      </w:r>
      <w:r w:rsidRPr="00E406B2">
        <w:rPr>
          <w:rFonts w:ascii="Arial" w:hAnsi="Arial" w:cs="Arial"/>
        </w:rPr>
        <w:tab/>
        <w:t>As they are employed by ‘constitutional corporations’</w:t>
      </w:r>
      <w:r>
        <w:rPr>
          <w:rFonts w:ascii="Arial" w:hAnsi="Arial" w:cs="Arial"/>
        </w:rPr>
        <w:t xml:space="preserve"> (</w:t>
      </w:r>
      <w:r w:rsidRPr="00E406B2">
        <w:rPr>
          <w:rFonts w:ascii="Arial" w:hAnsi="Arial" w:cs="Arial"/>
        </w:rPr>
        <w:t>foreign, financial and trading corporations</w:t>
      </w:r>
      <w:r>
        <w:rPr>
          <w:rFonts w:ascii="Arial" w:hAnsi="Arial" w:cs="Arial"/>
        </w:rPr>
        <w:t>)</w:t>
      </w:r>
      <w:r w:rsidRPr="00E406B2">
        <w:rPr>
          <w:rFonts w:ascii="Arial" w:hAnsi="Arial" w:cs="Arial"/>
        </w:rPr>
        <w:t xml:space="preserve">.  </w:t>
      </w:r>
    </w:p>
  </w:footnote>
  <w:footnote w:id="15">
    <w:p w:rsidR="00FC79A1" w:rsidRPr="00E406B2" w:rsidRDefault="00FC79A1" w:rsidP="002E3D4E">
      <w:pPr>
        <w:pStyle w:val="FootnoteText"/>
        <w:spacing w:before="60"/>
        <w:ind w:left="284" w:hanging="284"/>
        <w:jc w:val="both"/>
        <w:rPr>
          <w:rFonts w:ascii="Arial" w:hAnsi="Arial" w:cs="Arial"/>
          <w:color w:val="000000" w:themeColor="text1"/>
          <w:lang w:val="en-US"/>
        </w:rPr>
      </w:pPr>
      <w:r w:rsidRPr="00E406B2">
        <w:rPr>
          <w:rStyle w:val="FootnoteReference"/>
          <w:rFonts w:asciiTheme="minorHAnsi" w:hAnsiTheme="minorHAnsi" w:cstheme="minorHAnsi"/>
        </w:rPr>
        <w:footnoteRef/>
      </w:r>
      <w:r w:rsidRPr="00E406B2">
        <w:rPr>
          <w:rFonts w:asciiTheme="minorHAnsi" w:hAnsiTheme="minorHAnsi" w:cstheme="minorHAnsi"/>
        </w:rPr>
        <w:t xml:space="preserve"> </w:t>
      </w:r>
      <w:r w:rsidRPr="00E406B2">
        <w:rPr>
          <w:rFonts w:cstheme="minorHAnsi"/>
        </w:rPr>
        <w:tab/>
      </w:r>
      <w:r w:rsidRPr="00E406B2">
        <w:rPr>
          <w:rFonts w:asciiTheme="minorHAnsi" w:hAnsiTheme="minorHAnsi" w:cstheme="minorHAnsi"/>
        </w:rPr>
        <w:t>ABS (2019)</w:t>
      </w:r>
      <w:r>
        <w:rPr>
          <w:rFonts w:asciiTheme="minorHAnsi" w:hAnsiTheme="minorHAnsi" w:cstheme="minorHAnsi"/>
        </w:rPr>
        <w:t>,</w:t>
      </w:r>
      <w:r w:rsidRPr="00E406B2">
        <w:rPr>
          <w:rFonts w:asciiTheme="minorHAnsi" w:hAnsiTheme="minorHAnsi" w:cstheme="minorHAnsi"/>
        </w:rPr>
        <w:t xml:space="preserve"> </w:t>
      </w:r>
      <w:r w:rsidRPr="00E406B2">
        <w:rPr>
          <w:rFonts w:asciiTheme="minorHAnsi" w:hAnsiTheme="minorHAnsi" w:cstheme="minorHAnsi"/>
          <w:i/>
        </w:rPr>
        <w:t>Employee, Earnings and Hours, Australia</w:t>
      </w:r>
      <w:r w:rsidRPr="00E406B2">
        <w:rPr>
          <w:rFonts w:asciiTheme="minorHAnsi" w:hAnsiTheme="minorHAnsi" w:cstheme="minorHAnsi"/>
        </w:rPr>
        <w:t xml:space="preserve">, </w:t>
      </w:r>
      <w:r w:rsidRPr="00E406B2">
        <w:rPr>
          <w:rFonts w:asciiTheme="minorHAnsi" w:hAnsiTheme="minorHAnsi" w:cstheme="minorHAnsi"/>
          <w:i/>
        </w:rPr>
        <w:t>May 2018</w:t>
      </w:r>
      <w:r w:rsidRPr="00E406B2">
        <w:rPr>
          <w:rFonts w:asciiTheme="minorHAnsi" w:hAnsiTheme="minorHAnsi" w:cstheme="minorHAnsi"/>
        </w:rPr>
        <w:t xml:space="preserve"> and ABS (2017) </w:t>
      </w:r>
      <w:r w:rsidRPr="00E406B2">
        <w:rPr>
          <w:rFonts w:asciiTheme="minorHAnsi" w:hAnsiTheme="minorHAnsi" w:cstheme="minorHAnsi"/>
          <w:i/>
        </w:rPr>
        <w:t>Employee Earnings and Hours, Australia, May 2016</w:t>
      </w:r>
      <w:r w:rsidRPr="00E406B2">
        <w:rPr>
          <w:rFonts w:asciiTheme="minorHAnsi" w:hAnsiTheme="minorHAnsi" w:cstheme="minorHAnsi"/>
        </w:rPr>
        <w:t>.</w:t>
      </w:r>
      <w:r>
        <w:rPr>
          <w:rFonts w:asciiTheme="minorHAnsi" w:hAnsiTheme="minorHAnsi" w:cstheme="minorHAnsi"/>
        </w:rPr>
        <w:t xml:space="preserve"> </w:t>
      </w:r>
      <w:r w:rsidRPr="00E406B2">
        <w:rPr>
          <w:rFonts w:ascii="Arial" w:hAnsi="Arial" w:cs="Arial"/>
          <w:color w:val="000000" w:themeColor="text1"/>
        </w:rPr>
        <w:t xml:space="preserve">It should be noted that the ABS </w:t>
      </w:r>
      <w:r>
        <w:rPr>
          <w:rFonts w:ascii="Arial" w:hAnsi="Arial" w:cs="Arial"/>
          <w:color w:val="000000" w:themeColor="text1"/>
        </w:rPr>
        <w:t xml:space="preserve">adjusted </w:t>
      </w:r>
      <w:r w:rsidRPr="00E406B2">
        <w:rPr>
          <w:rFonts w:ascii="Arial" w:hAnsi="Arial" w:cs="Arial"/>
          <w:color w:val="000000" w:themeColor="text1"/>
        </w:rPr>
        <w:t xml:space="preserve">the categorisation of employees between 2016 and 2018, which resulted in some </w:t>
      </w:r>
      <w:r w:rsidRPr="00E406B2">
        <w:rPr>
          <w:rFonts w:ascii="Arial" w:hAnsi="Arial" w:cs="Arial"/>
          <w:color w:val="000000" w:themeColor="text1"/>
          <w:shd w:val="clear" w:color="auto" w:fill="FFFFFF"/>
        </w:rPr>
        <w:t>employees in New South Wales, Victoria and Queensland previously considered to be paid on an award only basis in 2016 being categorised as being paid according to a collective agreement in May 2018.</w:t>
      </w:r>
      <w:r>
        <w:rPr>
          <w:rFonts w:ascii="Arial" w:hAnsi="Arial" w:cs="Arial"/>
          <w:color w:val="000000" w:themeColor="text1"/>
          <w:shd w:val="clear" w:color="auto" w:fill="FFFFFF"/>
        </w:rPr>
        <w:t xml:space="preserve"> </w:t>
      </w:r>
      <w:r w:rsidRPr="00E406B2">
        <w:rPr>
          <w:rFonts w:ascii="Arial" w:hAnsi="Arial" w:cs="Arial"/>
          <w:color w:val="000000" w:themeColor="text1"/>
          <w:shd w:val="clear" w:color="auto" w:fill="FFFFFF"/>
        </w:rPr>
        <w:t>To compare methods of setting pay over time, the ABS undertook broad level analysis to gauge the extent to which the 2016 estimates would have differed had the 2018 treatment of certain employee groups been applied. Applying the 2018 methodology to both surveys would have resulted in the proportion of award only non-managerial employees in Australia being lower in 2016 (22.4 per cent) than the official figure of 24.5 per cent. On this measure, there would have been a slight increase in award reliance in Australia between 2016 and 2018 (22.4 per cent to 22.5 per cent).</w:t>
      </w:r>
    </w:p>
  </w:footnote>
  <w:footnote w:id="16">
    <w:p w:rsidR="00FC79A1" w:rsidRPr="00E406B2" w:rsidRDefault="00FC79A1" w:rsidP="004715DB">
      <w:pPr>
        <w:pStyle w:val="FootnoteText"/>
        <w:ind w:left="284" w:hanging="284"/>
        <w:jc w:val="both"/>
        <w:rPr>
          <w:rFonts w:ascii="Arial" w:hAnsi="Arial" w:cs="Arial"/>
        </w:rPr>
      </w:pPr>
      <w:r w:rsidRPr="00E406B2">
        <w:rPr>
          <w:rStyle w:val="FootnoteReference"/>
          <w:rFonts w:ascii="Arial" w:hAnsi="Arial" w:cs="Arial"/>
        </w:rPr>
        <w:footnoteRef/>
      </w:r>
      <w:r w:rsidRPr="00E406B2">
        <w:rPr>
          <w:rFonts w:ascii="Arial" w:hAnsi="Arial" w:cs="Arial"/>
        </w:rPr>
        <w:t xml:space="preserve"> </w:t>
      </w:r>
      <w:r w:rsidRPr="00E406B2">
        <w:rPr>
          <w:rFonts w:ascii="Arial" w:hAnsi="Arial" w:cs="Arial"/>
        </w:rPr>
        <w:tab/>
        <w:t xml:space="preserve">ABS (2019), </w:t>
      </w:r>
      <w:r w:rsidRPr="00E406B2">
        <w:rPr>
          <w:rFonts w:ascii="Arial" w:hAnsi="Arial" w:cs="Arial"/>
          <w:i/>
        </w:rPr>
        <w:t>Labour Force, Australia, Detailed Quarterly, November 2019</w:t>
      </w:r>
      <w:r w:rsidRPr="00E406B2">
        <w:rPr>
          <w:rFonts w:ascii="Arial" w:hAnsi="Arial" w:cs="Arial"/>
        </w:rPr>
        <w:t>, catalogue 6291.0.55.003, (original data). The share of the Western Australian workforce employed in most industries is lower than it is at the national level due to the significance of the Mining industry in the State.</w:t>
      </w:r>
    </w:p>
  </w:footnote>
  <w:footnote w:id="17">
    <w:p w:rsidR="00FC79A1" w:rsidRPr="00E406B2" w:rsidRDefault="00FC79A1" w:rsidP="004715DB">
      <w:pPr>
        <w:pStyle w:val="FootnoteText"/>
        <w:spacing w:before="60"/>
        <w:ind w:left="284" w:hanging="284"/>
        <w:jc w:val="both"/>
        <w:rPr>
          <w:rFonts w:ascii="Arial" w:hAnsi="Arial" w:cs="Arial"/>
        </w:rPr>
      </w:pPr>
      <w:r w:rsidRPr="00E406B2">
        <w:rPr>
          <w:rStyle w:val="FootnoteReference"/>
          <w:rFonts w:ascii="Arial" w:hAnsi="Arial" w:cs="Arial"/>
        </w:rPr>
        <w:footnoteRef/>
      </w:r>
      <w:r w:rsidRPr="00E406B2">
        <w:rPr>
          <w:rFonts w:ascii="Arial" w:hAnsi="Arial" w:cs="Arial"/>
        </w:rPr>
        <w:t xml:space="preserve"> </w:t>
      </w:r>
      <w:r w:rsidRPr="00E406B2">
        <w:rPr>
          <w:rFonts w:ascii="Arial" w:hAnsi="Arial" w:cs="Arial"/>
        </w:rPr>
        <w:tab/>
        <w:t xml:space="preserve">ABS (2019), </w:t>
      </w:r>
      <w:r w:rsidRPr="00E406B2">
        <w:rPr>
          <w:rFonts w:ascii="Arial" w:hAnsi="Arial" w:cs="Arial"/>
          <w:i/>
        </w:rPr>
        <w:t>Employee Earnings and Hours, Australia, May 2018</w:t>
      </w:r>
      <w:r w:rsidRPr="00E406B2">
        <w:rPr>
          <w:rFonts w:ascii="Arial" w:hAnsi="Arial" w:cs="Arial"/>
        </w:rPr>
        <w:t xml:space="preserve">, catalogue 6306.0. </w:t>
      </w:r>
    </w:p>
  </w:footnote>
  <w:footnote w:id="18">
    <w:p w:rsidR="00FC79A1" w:rsidRPr="00E406B2" w:rsidRDefault="00FC79A1" w:rsidP="00E53B39">
      <w:pPr>
        <w:pStyle w:val="FootnoteText"/>
        <w:spacing w:before="60"/>
        <w:ind w:left="284" w:hanging="284"/>
        <w:jc w:val="both"/>
        <w:rPr>
          <w:rFonts w:ascii="Arial" w:hAnsi="Arial" w:cs="Arial"/>
        </w:rPr>
      </w:pPr>
      <w:r w:rsidRPr="00E406B2">
        <w:rPr>
          <w:rStyle w:val="FootnoteReference"/>
          <w:rFonts w:ascii="Arial" w:hAnsi="Arial" w:cs="Arial"/>
        </w:rPr>
        <w:footnoteRef/>
      </w:r>
      <w:r w:rsidRPr="00E406B2">
        <w:rPr>
          <w:rFonts w:ascii="Arial" w:hAnsi="Arial" w:cs="Arial"/>
        </w:rPr>
        <w:t xml:space="preserve"> </w:t>
      </w:r>
      <w:r w:rsidRPr="00E406B2">
        <w:rPr>
          <w:rFonts w:ascii="Arial" w:hAnsi="Arial" w:cs="Arial"/>
        </w:rPr>
        <w:tab/>
        <w:t>Department of the Attorney General (20</w:t>
      </w:r>
      <w:r>
        <w:rPr>
          <w:rFonts w:ascii="Arial" w:hAnsi="Arial" w:cs="Arial"/>
        </w:rPr>
        <w:t>20</w:t>
      </w:r>
      <w:r w:rsidRPr="00E406B2">
        <w:rPr>
          <w:rFonts w:ascii="Arial" w:hAnsi="Arial" w:cs="Arial"/>
        </w:rPr>
        <w:t xml:space="preserve">), </w:t>
      </w:r>
      <w:r w:rsidRPr="00E406B2">
        <w:rPr>
          <w:rFonts w:ascii="Arial" w:hAnsi="Arial" w:cs="Arial"/>
          <w:i/>
        </w:rPr>
        <w:t>Trends in Federal Enterprise Bargaining Report</w:t>
      </w:r>
      <w:r w:rsidRPr="00E406B2">
        <w:rPr>
          <w:rFonts w:ascii="Arial" w:hAnsi="Arial" w:cs="Arial"/>
        </w:rPr>
        <w:t xml:space="preserve">, </w:t>
      </w:r>
      <w:r>
        <w:rPr>
          <w:rFonts w:ascii="Arial" w:hAnsi="Arial" w:cs="Arial"/>
        </w:rPr>
        <w:t>September</w:t>
      </w:r>
      <w:r w:rsidRPr="00E406B2">
        <w:rPr>
          <w:rFonts w:ascii="Arial" w:hAnsi="Arial" w:cs="Arial"/>
        </w:rPr>
        <w:t xml:space="preserve"> Quarter 2019. </w:t>
      </w:r>
    </w:p>
  </w:footnote>
  <w:footnote w:id="19">
    <w:p w:rsidR="00FC79A1" w:rsidRPr="00E406B2" w:rsidRDefault="00FC79A1" w:rsidP="00F063AB">
      <w:pPr>
        <w:pStyle w:val="FootnoteText"/>
        <w:spacing w:before="60"/>
        <w:ind w:left="284" w:hanging="284"/>
        <w:rPr>
          <w:rFonts w:asciiTheme="minorHAnsi" w:hAnsiTheme="minorHAnsi" w:cstheme="minorHAnsi"/>
        </w:rPr>
      </w:pPr>
      <w:r w:rsidRPr="00E406B2">
        <w:rPr>
          <w:rStyle w:val="FootnoteReference"/>
          <w:rFonts w:asciiTheme="minorHAnsi" w:hAnsiTheme="minorHAnsi" w:cstheme="minorHAnsi"/>
        </w:rPr>
        <w:footnoteRef/>
      </w:r>
      <w:r w:rsidRPr="00E406B2">
        <w:rPr>
          <w:rFonts w:asciiTheme="minorHAnsi" w:hAnsiTheme="minorHAnsi" w:cstheme="minorHAnsi"/>
        </w:rPr>
        <w:t xml:space="preserve"> </w:t>
      </w:r>
      <w:r w:rsidRPr="00E406B2">
        <w:rPr>
          <w:rFonts w:asciiTheme="minorHAnsi" w:hAnsiTheme="minorHAnsi" w:cstheme="minorHAnsi"/>
        </w:rPr>
        <w:tab/>
        <w:t xml:space="preserve">Ibid. </w:t>
      </w:r>
    </w:p>
  </w:footnote>
  <w:footnote w:id="20">
    <w:p w:rsidR="00FC79A1" w:rsidRPr="000F5A38" w:rsidRDefault="00FC79A1" w:rsidP="00FC3AB0">
      <w:pPr>
        <w:pStyle w:val="FootnoteText"/>
        <w:spacing w:before="60"/>
        <w:ind w:left="284" w:hanging="284"/>
        <w:jc w:val="both"/>
        <w:rPr>
          <w:rFonts w:asciiTheme="minorHAnsi" w:hAnsiTheme="minorHAnsi" w:cstheme="minorHAnsi"/>
        </w:rPr>
      </w:pPr>
      <w:r w:rsidRPr="00E406B2">
        <w:rPr>
          <w:rStyle w:val="FootnoteReference"/>
          <w:rFonts w:ascii="Arial" w:hAnsi="Arial" w:cs="Arial"/>
        </w:rPr>
        <w:footnoteRef/>
      </w:r>
      <w:r w:rsidRPr="00E406B2">
        <w:rPr>
          <w:rFonts w:ascii="Arial" w:hAnsi="Arial" w:cs="Arial"/>
        </w:rPr>
        <w:t xml:space="preserve"> </w:t>
      </w:r>
      <w:r w:rsidRPr="00E406B2">
        <w:rPr>
          <w:rFonts w:ascii="Arial" w:hAnsi="Arial" w:cs="Arial"/>
        </w:rPr>
        <w:tab/>
      </w:r>
      <w:r>
        <w:rPr>
          <w:rFonts w:ascii="Arial" w:hAnsi="Arial" w:cs="Arial"/>
        </w:rPr>
        <w:t xml:space="preserve">Ibid. </w:t>
      </w:r>
      <w:r w:rsidRPr="00E406B2">
        <w:rPr>
          <w:rFonts w:ascii="Arial" w:hAnsi="Arial" w:cs="Arial"/>
        </w:rPr>
        <w:t xml:space="preserve">This figure excludes Western Australian employees working under multi-state agreements. </w:t>
      </w:r>
    </w:p>
  </w:footnote>
  <w:footnote w:id="21">
    <w:p w:rsidR="00FC79A1" w:rsidRPr="00E406B2" w:rsidRDefault="00FC79A1" w:rsidP="003E5706">
      <w:pPr>
        <w:pStyle w:val="FootnoteText"/>
        <w:ind w:left="284" w:hanging="284"/>
        <w:jc w:val="both"/>
        <w:rPr>
          <w:rFonts w:asciiTheme="minorHAnsi" w:hAnsiTheme="minorHAnsi" w:cstheme="minorHAnsi"/>
        </w:rPr>
      </w:pPr>
      <w:r w:rsidRPr="00E406B2">
        <w:rPr>
          <w:rStyle w:val="FootnoteReference"/>
          <w:rFonts w:asciiTheme="minorHAnsi" w:hAnsiTheme="minorHAnsi" w:cstheme="minorHAnsi"/>
        </w:rPr>
        <w:footnoteRef/>
      </w:r>
      <w:r w:rsidRPr="00E406B2">
        <w:rPr>
          <w:rFonts w:asciiTheme="minorHAnsi" w:hAnsiTheme="minorHAnsi" w:cstheme="minorHAnsi"/>
        </w:rPr>
        <w:t xml:space="preserve"> </w:t>
      </w:r>
      <w:r>
        <w:rPr>
          <w:rFonts w:asciiTheme="minorHAnsi" w:hAnsiTheme="minorHAnsi" w:cstheme="minorHAnsi"/>
        </w:rPr>
        <w:tab/>
        <w:t xml:space="preserve">Ibid. </w:t>
      </w:r>
      <w:r w:rsidRPr="00E406B2">
        <w:rPr>
          <w:rFonts w:asciiTheme="minorHAnsi" w:hAnsiTheme="minorHAnsi" w:cstheme="minorHAnsi"/>
        </w:rPr>
        <w:t xml:space="preserve"> </w:t>
      </w:r>
    </w:p>
  </w:footnote>
  <w:footnote w:id="22">
    <w:p w:rsidR="00FC79A1" w:rsidRPr="00E406B2" w:rsidRDefault="00FC79A1" w:rsidP="00F063AB">
      <w:pPr>
        <w:pStyle w:val="FootnoteText"/>
        <w:spacing w:before="60"/>
        <w:ind w:left="284" w:hanging="284"/>
        <w:jc w:val="both"/>
        <w:rPr>
          <w:rFonts w:ascii="Arial" w:hAnsi="Arial" w:cs="Arial"/>
        </w:rPr>
      </w:pPr>
      <w:r w:rsidRPr="00E406B2">
        <w:rPr>
          <w:rStyle w:val="FootnoteReference"/>
          <w:rFonts w:ascii="Arial" w:hAnsi="Arial" w:cs="Arial"/>
        </w:rPr>
        <w:footnoteRef/>
      </w:r>
      <w:r w:rsidRPr="00E406B2">
        <w:rPr>
          <w:rFonts w:ascii="Arial" w:hAnsi="Arial" w:cs="Arial"/>
        </w:rPr>
        <w:t xml:space="preserve"> </w:t>
      </w:r>
      <w:r w:rsidRPr="00E406B2">
        <w:rPr>
          <w:rFonts w:ascii="Arial" w:hAnsi="Arial" w:cs="Arial"/>
        </w:rPr>
        <w:tab/>
        <w:t xml:space="preserve">Pursuant to section 206 of </w:t>
      </w:r>
      <w:r w:rsidRPr="00E406B2">
        <w:rPr>
          <w:rFonts w:ascii="Arial" w:hAnsi="Arial" w:cs="Arial"/>
          <w:i/>
        </w:rPr>
        <w:t>Fair Work Act 2009</w:t>
      </w:r>
      <w:r w:rsidRPr="00E406B2">
        <w:rPr>
          <w:rFonts w:ascii="Arial" w:hAnsi="Arial" w:cs="Arial"/>
        </w:rPr>
        <w:t xml:space="preserve"> base wages in enterprise agreements cannot fall below the base rates of pay in any national modern award that is applicable to the employee. </w:t>
      </w:r>
    </w:p>
  </w:footnote>
  <w:footnote w:id="23">
    <w:p w:rsidR="00FC79A1" w:rsidRPr="00E406B2" w:rsidRDefault="00FC79A1" w:rsidP="008B0C4E">
      <w:pPr>
        <w:pStyle w:val="FootnoteText"/>
        <w:spacing w:before="60"/>
        <w:ind w:left="284" w:hanging="284"/>
        <w:jc w:val="both"/>
        <w:rPr>
          <w:rFonts w:asciiTheme="minorHAnsi" w:hAnsiTheme="minorHAnsi" w:cstheme="minorHAnsi"/>
          <w:color w:val="000000" w:themeColor="text1"/>
        </w:rPr>
      </w:pPr>
      <w:r w:rsidRPr="00E406B2">
        <w:rPr>
          <w:rStyle w:val="FootnoteReference"/>
          <w:rFonts w:asciiTheme="minorHAnsi" w:hAnsiTheme="minorHAnsi" w:cstheme="minorHAnsi"/>
          <w:color w:val="000000" w:themeColor="text1"/>
        </w:rPr>
        <w:footnoteRef/>
      </w:r>
      <w:r w:rsidRPr="00E406B2">
        <w:rPr>
          <w:rFonts w:asciiTheme="minorHAnsi" w:hAnsiTheme="minorHAnsi" w:cstheme="minorHAnsi"/>
          <w:color w:val="000000" w:themeColor="text1"/>
        </w:rPr>
        <w:t xml:space="preserve"> </w:t>
      </w:r>
      <w:r w:rsidRPr="00E406B2">
        <w:rPr>
          <w:rFonts w:asciiTheme="minorHAnsi" w:hAnsiTheme="minorHAnsi" w:cstheme="minorHAnsi"/>
          <w:color w:val="000000" w:themeColor="text1"/>
        </w:rPr>
        <w:tab/>
        <w:t xml:space="preserve">Such agreements appear to have become more common since the decision of the Full Bench of the FWC not to approve the </w:t>
      </w:r>
      <w:r w:rsidRPr="00E406B2">
        <w:rPr>
          <w:rFonts w:asciiTheme="minorHAnsi" w:hAnsiTheme="minorHAnsi" w:cstheme="minorHAnsi"/>
          <w:i/>
          <w:iCs/>
          <w:color w:val="000000" w:themeColor="text1"/>
        </w:rPr>
        <w:t xml:space="preserve">Coles Store Team Enterprise Agreement 2014 – 2017 </w:t>
      </w:r>
      <w:r w:rsidRPr="00E406B2">
        <w:rPr>
          <w:rFonts w:asciiTheme="minorHAnsi" w:hAnsiTheme="minorHAnsi" w:cstheme="minorHAnsi"/>
          <w:iCs/>
          <w:color w:val="000000" w:themeColor="text1"/>
        </w:rPr>
        <w:t xml:space="preserve">on the grounds that it did not meet the Better Off Overall Test (BOOT). Refer to </w:t>
      </w:r>
      <w:r w:rsidRPr="00E406B2">
        <w:rPr>
          <w:rFonts w:asciiTheme="minorHAnsi" w:hAnsiTheme="minorHAnsi" w:cstheme="minorHAnsi"/>
          <w:i/>
          <w:iCs/>
          <w:color w:val="000000" w:themeColor="text1"/>
        </w:rPr>
        <w:t xml:space="preserve">Hart v Coles Supermarkets Australia Pty Ltd and Bi-Lo Pty Ltd </w:t>
      </w:r>
      <w:r w:rsidRPr="00E406B2">
        <w:rPr>
          <w:rFonts w:asciiTheme="minorHAnsi" w:hAnsiTheme="minorHAnsi" w:cstheme="minorHAnsi"/>
          <w:iCs/>
          <w:color w:val="000000" w:themeColor="text1"/>
        </w:rPr>
        <w:t xml:space="preserve">[2016] FWCFB 2887 (31 May 2016). </w:t>
      </w:r>
      <w:r w:rsidRPr="00E406B2">
        <w:rPr>
          <w:rFonts w:asciiTheme="minorHAnsi" w:hAnsiTheme="minorHAnsi" w:cstheme="minorHAnsi"/>
          <w:i/>
          <w:iCs/>
          <w:color w:val="000000" w:themeColor="text1"/>
        </w:rPr>
        <w:t xml:space="preserve"> </w:t>
      </w:r>
    </w:p>
  </w:footnote>
  <w:footnote w:id="24">
    <w:p w:rsidR="00FC79A1" w:rsidRPr="00E406B2" w:rsidRDefault="00FC79A1" w:rsidP="008C5333">
      <w:pPr>
        <w:pStyle w:val="FootnoteText"/>
        <w:spacing w:before="60"/>
        <w:ind w:left="284" w:hanging="284"/>
        <w:jc w:val="both"/>
        <w:rPr>
          <w:rFonts w:asciiTheme="minorHAnsi" w:hAnsiTheme="minorHAnsi" w:cstheme="minorHAnsi"/>
          <w:color w:val="000000" w:themeColor="text1"/>
        </w:rPr>
      </w:pPr>
      <w:r w:rsidRPr="00E406B2">
        <w:rPr>
          <w:rStyle w:val="FootnoteReference"/>
          <w:rFonts w:asciiTheme="minorHAnsi" w:hAnsiTheme="minorHAnsi" w:cstheme="minorHAnsi"/>
          <w:color w:val="000000" w:themeColor="text1"/>
        </w:rPr>
        <w:footnoteRef/>
      </w:r>
      <w:r w:rsidRPr="00E406B2">
        <w:rPr>
          <w:rFonts w:asciiTheme="minorHAnsi" w:hAnsiTheme="minorHAnsi" w:cstheme="minorHAnsi"/>
          <w:color w:val="000000" w:themeColor="text1"/>
        </w:rPr>
        <w:t xml:space="preserve"> </w:t>
      </w:r>
      <w:r w:rsidRPr="00E406B2">
        <w:rPr>
          <w:rFonts w:asciiTheme="minorHAnsi" w:hAnsiTheme="minorHAnsi" w:cstheme="minorHAnsi"/>
          <w:color w:val="000000" w:themeColor="text1"/>
        </w:rPr>
        <w:tab/>
        <w:t xml:space="preserve">Section 134(1)(b) of the </w:t>
      </w:r>
      <w:r w:rsidRPr="00E406B2">
        <w:rPr>
          <w:rFonts w:asciiTheme="minorHAnsi" w:hAnsiTheme="minorHAnsi" w:cstheme="minorHAnsi"/>
          <w:i/>
          <w:color w:val="000000" w:themeColor="text1"/>
        </w:rPr>
        <w:t>Fair Work Act 2009</w:t>
      </w:r>
      <w:r w:rsidRPr="00E406B2">
        <w:rPr>
          <w:rFonts w:asciiTheme="minorHAnsi" w:hAnsiTheme="minorHAnsi" w:cstheme="minorHAnsi"/>
          <w:color w:val="000000" w:themeColor="text1"/>
        </w:rPr>
        <w:t>.</w:t>
      </w:r>
    </w:p>
  </w:footnote>
  <w:footnote w:id="25">
    <w:p w:rsidR="00FC79A1" w:rsidRPr="00E406B2" w:rsidRDefault="00FC79A1" w:rsidP="003E5706">
      <w:pPr>
        <w:pStyle w:val="FootnoteText"/>
        <w:ind w:left="284" w:hanging="284"/>
        <w:jc w:val="both"/>
        <w:rPr>
          <w:rFonts w:asciiTheme="minorHAnsi" w:hAnsiTheme="minorHAnsi" w:cstheme="minorHAnsi"/>
        </w:rPr>
      </w:pPr>
      <w:r w:rsidRPr="00E406B2">
        <w:rPr>
          <w:rStyle w:val="FootnoteReference"/>
          <w:rFonts w:asciiTheme="minorHAnsi" w:hAnsiTheme="minorHAnsi" w:cstheme="minorHAnsi"/>
        </w:rPr>
        <w:footnoteRef/>
      </w:r>
      <w:r w:rsidRPr="00E406B2">
        <w:rPr>
          <w:rFonts w:asciiTheme="minorHAnsi" w:hAnsiTheme="minorHAnsi" w:cstheme="minorHAnsi"/>
        </w:rPr>
        <w:t xml:space="preserve"> </w:t>
      </w:r>
      <w:r w:rsidRPr="00E406B2">
        <w:rPr>
          <w:rFonts w:asciiTheme="minorHAnsi" w:hAnsiTheme="minorHAnsi" w:cstheme="minorHAnsi"/>
        </w:rPr>
        <w:tab/>
        <w:t xml:space="preserve">Fair Work Commission (2019), </w:t>
      </w:r>
      <w:r w:rsidRPr="00E406B2">
        <w:rPr>
          <w:rFonts w:asciiTheme="minorHAnsi" w:hAnsiTheme="minorHAnsi" w:cstheme="minorHAnsi"/>
          <w:i/>
        </w:rPr>
        <w:t>Annual Wage Review 2018-19</w:t>
      </w:r>
      <w:r w:rsidRPr="00E406B2">
        <w:rPr>
          <w:rFonts w:asciiTheme="minorHAnsi" w:hAnsiTheme="minorHAnsi" w:cstheme="minorHAnsi"/>
        </w:rPr>
        <w:t>, at [69].</w:t>
      </w:r>
    </w:p>
  </w:footnote>
  <w:footnote w:id="26">
    <w:p w:rsidR="00FC79A1" w:rsidRPr="00E406B2" w:rsidRDefault="00FC79A1" w:rsidP="00307D59">
      <w:pPr>
        <w:pStyle w:val="FootnoteText"/>
        <w:spacing w:before="60"/>
        <w:ind w:left="284" w:hanging="284"/>
        <w:jc w:val="both"/>
        <w:rPr>
          <w:rFonts w:ascii="Arial" w:hAnsi="Arial" w:cs="Arial"/>
        </w:rPr>
      </w:pPr>
      <w:r w:rsidRPr="00E406B2">
        <w:rPr>
          <w:rStyle w:val="FootnoteReference"/>
          <w:rFonts w:ascii="Arial" w:hAnsi="Arial" w:cs="Arial"/>
        </w:rPr>
        <w:footnoteRef/>
      </w:r>
      <w:r w:rsidRPr="00E406B2">
        <w:rPr>
          <w:rFonts w:ascii="Arial" w:hAnsi="Arial" w:cs="Arial"/>
        </w:rPr>
        <w:tab/>
        <w:t xml:space="preserve">Fair Work Commission (2019), </w:t>
      </w:r>
      <w:r w:rsidRPr="00E406B2">
        <w:rPr>
          <w:rFonts w:ascii="Arial" w:hAnsi="Arial" w:cs="Arial"/>
          <w:i/>
        </w:rPr>
        <w:t>Annual Wage Review 2018-19</w:t>
      </w:r>
      <w:r w:rsidRPr="00E406B2">
        <w:rPr>
          <w:rFonts w:ascii="Arial" w:hAnsi="Arial" w:cs="Arial"/>
        </w:rPr>
        <w:t>, at [207].</w:t>
      </w:r>
    </w:p>
  </w:footnote>
  <w:footnote w:id="27">
    <w:p w:rsidR="00FC79A1" w:rsidRPr="00CF6259" w:rsidRDefault="00FC79A1" w:rsidP="003E5706">
      <w:pPr>
        <w:pStyle w:val="FootnoteText"/>
        <w:ind w:left="284" w:hanging="284"/>
        <w:jc w:val="both"/>
        <w:rPr>
          <w:rFonts w:ascii="Arial" w:hAnsi="Arial" w:cs="Arial"/>
        </w:rPr>
      </w:pPr>
      <w:r w:rsidRPr="00CF6259">
        <w:rPr>
          <w:rStyle w:val="FootnoteReference"/>
          <w:rFonts w:asciiTheme="minorHAnsi" w:hAnsiTheme="minorHAnsi" w:cstheme="minorHAnsi"/>
        </w:rPr>
        <w:footnoteRef/>
      </w:r>
      <w:r w:rsidRPr="00CF6259">
        <w:rPr>
          <w:rFonts w:asciiTheme="minorHAnsi" w:hAnsiTheme="minorHAnsi" w:cstheme="minorHAnsi"/>
        </w:rPr>
        <w:t xml:space="preserve"> </w:t>
      </w:r>
      <w:r>
        <w:tab/>
      </w:r>
      <w:r w:rsidRPr="00E406B2">
        <w:rPr>
          <w:rFonts w:ascii="Arial" w:hAnsi="Arial" w:cs="Arial"/>
        </w:rPr>
        <w:t xml:space="preserve">ABS (2019), </w:t>
      </w:r>
      <w:r w:rsidRPr="00E406B2">
        <w:rPr>
          <w:rFonts w:ascii="Arial" w:hAnsi="Arial" w:cs="Arial"/>
          <w:i/>
        </w:rPr>
        <w:t>Employee Earnings and Hours, Australia, May 2018</w:t>
      </w:r>
      <w:r>
        <w:rPr>
          <w:rFonts w:ascii="Arial" w:hAnsi="Arial" w:cs="Arial"/>
        </w:rPr>
        <w:t xml:space="preserve">, catalogue 6306.0. </w:t>
      </w:r>
    </w:p>
  </w:footnote>
  <w:footnote w:id="28">
    <w:p w:rsidR="00FC79A1" w:rsidRPr="00FC1B0D" w:rsidRDefault="00FC79A1" w:rsidP="00CF6259">
      <w:pPr>
        <w:pStyle w:val="FootnoteText"/>
        <w:spacing w:before="60"/>
        <w:ind w:left="284" w:hanging="284"/>
        <w:jc w:val="both"/>
        <w:rPr>
          <w:rFonts w:asciiTheme="minorHAnsi" w:hAnsiTheme="minorHAnsi" w:cstheme="minorHAnsi"/>
        </w:rPr>
      </w:pPr>
      <w:r w:rsidRPr="00FC1B0D">
        <w:rPr>
          <w:rStyle w:val="FootnoteReference"/>
          <w:rFonts w:asciiTheme="minorHAnsi" w:hAnsiTheme="minorHAnsi" w:cstheme="minorHAnsi"/>
        </w:rPr>
        <w:footnoteRef/>
      </w:r>
      <w:r w:rsidRPr="00FC1B0D">
        <w:rPr>
          <w:rFonts w:asciiTheme="minorHAnsi" w:hAnsiTheme="minorHAnsi" w:cstheme="minorHAnsi"/>
        </w:rPr>
        <w:t xml:space="preserve"> </w:t>
      </w:r>
      <w:r w:rsidRPr="00FC1B0D">
        <w:rPr>
          <w:rFonts w:asciiTheme="minorHAnsi" w:hAnsiTheme="minorHAnsi" w:cstheme="minorHAnsi"/>
        </w:rPr>
        <w:tab/>
        <w:t xml:space="preserve">Ibid. </w:t>
      </w:r>
    </w:p>
  </w:footnote>
  <w:footnote w:id="29">
    <w:p w:rsidR="00FC79A1" w:rsidRPr="006F45F7" w:rsidRDefault="00FC79A1" w:rsidP="002B6FE9">
      <w:pPr>
        <w:pStyle w:val="FootnoteText"/>
        <w:spacing w:before="60"/>
        <w:ind w:left="284" w:hanging="284"/>
        <w:jc w:val="both"/>
        <w:rPr>
          <w:rFonts w:ascii="Arial" w:hAnsi="Arial" w:cs="Arial"/>
          <w:color w:val="FF0000"/>
        </w:rPr>
      </w:pPr>
      <w:r w:rsidRPr="00E406B2">
        <w:rPr>
          <w:rStyle w:val="FootnoteReference"/>
          <w:rFonts w:ascii="Arial" w:hAnsi="Arial" w:cs="Arial"/>
        </w:rPr>
        <w:footnoteRef/>
      </w:r>
      <w:r w:rsidRPr="00E406B2">
        <w:rPr>
          <w:rFonts w:ascii="Arial" w:hAnsi="Arial" w:cs="Arial"/>
        </w:rPr>
        <w:tab/>
      </w:r>
      <w:r w:rsidRPr="00416D88">
        <w:rPr>
          <w:rFonts w:ascii="Arial" w:hAnsi="Arial" w:cs="Arial"/>
        </w:rPr>
        <w:t xml:space="preserve">ABS (2020), </w:t>
      </w:r>
      <w:r w:rsidRPr="00416D88">
        <w:rPr>
          <w:rFonts w:ascii="Arial" w:hAnsi="Arial" w:cs="Arial"/>
          <w:i/>
        </w:rPr>
        <w:t xml:space="preserve">Labour Force, Australia, </w:t>
      </w:r>
      <w:r>
        <w:rPr>
          <w:rFonts w:ascii="Arial" w:hAnsi="Arial" w:cs="Arial"/>
          <w:i/>
        </w:rPr>
        <w:t>February</w:t>
      </w:r>
      <w:r w:rsidRPr="00416D88">
        <w:rPr>
          <w:rFonts w:ascii="Arial" w:hAnsi="Arial" w:cs="Arial"/>
          <w:i/>
        </w:rPr>
        <w:t xml:space="preserve"> 2020</w:t>
      </w:r>
      <w:r w:rsidRPr="00416D88">
        <w:rPr>
          <w:rFonts w:ascii="Arial" w:hAnsi="Arial" w:cs="Arial"/>
        </w:rPr>
        <w:t>, catalogue</w:t>
      </w:r>
      <w:r w:rsidRPr="00E406B2">
        <w:rPr>
          <w:rFonts w:ascii="Arial" w:hAnsi="Arial" w:cs="Arial"/>
        </w:rPr>
        <w:t xml:space="preserve"> 6202.0 (seasonally adjusted data).</w:t>
      </w:r>
    </w:p>
  </w:footnote>
  <w:footnote w:id="30">
    <w:p w:rsidR="00FC79A1" w:rsidRPr="00E406B2" w:rsidRDefault="00FC79A1" w:rsidP="00490B43">
      <w:pPr>
        <w:pStyle w:val="FootnoteText"/>
        <w:ind w:left="284" w:hanging="284"/>
        <w:jc w:val="both"/>
        <w:rPr>
          <w:rFonts w:ascii="Arial" w:hAnsi="Arial" w:cs="Arial"/>
        </w:rPr>
      </w:pPr>
      <w:r w:rsidRPr="00E406B2">
        <w:rPr>
          <w:rStyle w:val="FootnoteReference"/>
          <w:rFonts w:ascii="Arial" w:hAnsi="Arial" w:cs="Arial"/>
        </w:rPr>
        <w:footnoteRef/>
      </w:r>
      <w:r w:rsidRPr="00E406B2">
        <w:rPr>
          <w:rFonts w:ascii="Arial" w:hAnsi="Arial" w:cs="Arial"/>
        </w:rPr>
        <w:tab/>
      </w:r>
      <w:r>
        <w:rPr>
          <w:rFonts w:ascii="Arial" w:hAnsi="Arial" w:cs="Arial"/>
        </w:rPr>
        <w:t xml:space="preserve">Ibid. </w:t>
      </w:r>
    </w:p>
  </w:footnote>
  <w:footnote w:id="31">
    <w:p w:rsidR="00FC79A1" w:rsidRPr="00E406B2" w:rsidRDefault="00FC79A1" w:rsidP="00E54305">
      <w:pPr>
        <w:pStyle w:val="FootnoteText"/>
        <w:spacing w:before="60"/>
        <w:ind w:left="284" w:hanging="284"/>
        <w:jc w:val="both"/>
        <w:rPr>
          <w:rFonts w:ascii="Arial" w:hAnsi="Arial" w:cs="Arial"/>
        </w:rPr>
      </w:pPr>
      <w:r w:rsidRPr="00E406B2">
        <w:rPr>
          <w:rStyle w:val="FootnoteReference"/>
          <w:rFonts w:ascii="Arial" w:hAnsi="Arial" w:cs="Arial"/>
        </w:rPr>
        <w:footnoteRef/>
      </w:r>
      <w:r w:rsidRPr="00E406B2">
        <w:rPr>
          <w:rFonts w:ascii="Arial" w:hAnsi="Arial" w:cs="Arial"/>
        </w:rPr>
        <w:t xml:space="preserve">  </w:t>
      </w:r>
      <w:r w:rsidRPr="00E406B2">
        <w:rPr>
          <w:rFonts w:ascii="Arial" w:hAnsi="Arial" w:cs="Arial"/>
        </w:rPr>
        <w:tab/>
        <w:t xml:space="preserve">Fair Work Commission (2019), </w:t>
      </w:r>
      <w:r w:rsidRPr="00E406B2">
        <w:rPr>
          <w:rFonts w:ascii="Arial" w:hAnsi="Arial" w:cs="Arial"/>
          <w:i/>
        </w:rPr>
        <w:t>Annual Wage Review 2018-19</w:t>
      </w:r>
      <w:r w:rsidRPr="00E406B2">
        <w:rPr>
          <w:rFonts w:ascii="Arial" w:hAnsi="Arial" w:cs="Arial"/>
        </w:rPr>
        <w:t>, at [71].</w:t>
      </w:r>
    </w:p>
  </w:footnote>
  <w:footnote w:id="32">
    <w:p w:rsidR="00FC79A1" w:rsidRPr="00E406B2" w:rsidRDefault="00FC79A1" w:rsidP="008B0C4E">
      <w:pPr>
        <w:pStyle w:val="FootnoteText"/>
        <w:spacing w:before="60"/>
        <w:ind w:left="284" w:hanging="284"/>
        <w:jc w:val="both"/>
        <w:rPr>
          <w:rFonts w:ascii="Arial" w:hAnsi="Arial" w:cs="Arial"/>
        </w:rPr>
      </w:pPr>
      <w:r w:rsidRPr="00E406B2">
        <w:rPr>
          <w:rStyle w:val="FootnoteReference"/>
          <w:rFonts w:ascii="Arial" w:hAnsi="Arial" w:cs="Arial"/>
        </w:rPr>
        <w:footnoteRef/>
      </w:r>
      <w:r w:rsidRPr="00E406B2">
        <w:rPr>
          <w:rFonts w:ascii="Arial" w:hAnsi="Arial" w:cs="Arial"/>
        </w:rPr>
        <w:t xml:space="preserve"> </w:t>
      </w:r>
      <w:r w:rsidRPr="00E406B2">
        <w:rPr>
          <w:rFonts w:ascii="Arial" w:hAnsi="Arial" w:cs="Arial"/>
        </w:rPr>
        <w:tab/>
        <w:t>ABS (20</w:t>
      </w:r>
      <w:r>
        <w:rPr>
          <w:rFonts w:ascii="Arial" w:hAnsi="Arial" w:cs="Arial"/>
        </w:rPr>
        <w:t>20</w:t>
      </w:r>
      <w:r w:rsidRPr="00E406B2">
        <w:rPr>
          <w:rFonts w:ascii="Arial" w:hAnsi="Arial" w:cs="Arial"/>
        </w:rPr>
        <w:t xml:space="preserve">), </w:t>
      </w:r>
      <w:r w:rsidRPr="00E406B2">
        <w:rPr>
          <w:rFonts w:ascii="Arial" w:hAnsi="Arial" w:cs="Arial"/>
          <w:i/>
        </w:rPr>
        <w:t>Average Weekly Earnings, Australia, November 201</w:t>
      </w:r>
      <w:r>
        <w:rPr>
          <w:rFonts w:ascii="Arial" w:hAnsi="Arial" w:cs="Arial"/>
          <w:i/>
        </w:rPr>
        <w:t>9</w:t>
      </w:r>
      <w:r w:rsidRPr="00E406B2">
        <w:rPr>
          <w:rFonts w:ascii="Arial" w:hAnsi="Arial" w:cs="Arial"/>
        </w:rPr>
        <w:t xml:space="preserve">, catalogue 6302.0 (seasonally adjusted data). </w:t>
      </w:r>
    </w:p>
  </w:footnote>
  <w:footnote w:id="33">
    <w:p w:rsidR="00FC79A1" w:rsidRPr="00B05822" w:rsidRDefault="00FC79A1" w:rsidP="008B0C4E">
      <w:pPr>
        <w:pStyle w:val="FootnoteText"/>
        <w:spacing w:before="60"/>
        <w:ind w:left="284" w:hanging="284"/>
        <w:jc w:val="both"/>
        <w:rPr>
          <w:rFonts w:ascii="Arial" w:hAnsi="Arial" w:cs="Arial"/>
          <w:color w:val="000000" w:themeColor="text1"/>
        </w:rPr>
      </w:pPr>
      <w:r w:rsidRPr="00922D6E">
        <w:rPr>
          <w:rStyle w:val="FootnoteReference"/>
          <w:rFonts w:ascii="Arial" w:hAnsi="Arial" w:cs="Arial"/>
        </w:rPr>
        <w:footnoteRef/>
      </w:r>
      <w:r w:rsidRPr="00922D6E">
        <w:rPr>
          <w:rFonts w:ascii="Arial" w:hAnsi="Arial" w:cs="Arial"/>
        </w:rPr>
        <w:t xml:space="preserve"> </w:t>
      </w:r>
      <w:r w:rsidRPr="00922D6E">
        <w:rPr>
          <w:rFonts w:ascii="Arial" w:hAnsi="Arial" w:cs="Arial"/>
        </w:rPr>
        <w:tab/>
      </w:r>
      <w:r>
        <w:rPr>
          <w:rFonts w:ascii="Arial" w:hAnsi="Arial" w:cs="Arial"/>
        </w:rPr>
        <w:t xml:space="preserve">Ibid. </w:t>
      </w:r>
    </w:p>
  </w:footnote>
  <w:footnote w:id="34">
    <w:p w:rsidR="00FC79A1" w:rsidRPr="00E406B2" w:rsidRDefault="00FC79A1" w:rsidP="008B0C4E">
      <w:pPr>
        <w:pStyle w:val="FootnoteText"/>
        <w:spacing w:before="60"/>
        <w:ind w:left="284" w:hanging="284"/>
        <w:jc w:val="both"/>
        <w:rPr>
          <w:rFonts w:ascii="Arial" w:hAnsi="Arial" w:cs="Arial"/>
        </w:rPr>
      </w:pPr>
      <w:r w:rsidRPr="00E406B2">
        <w:rPr>
          <w:rStyle w:val="FootnoteReference"/>
          <w:rFonts w:ascii="Arial" w:hAnsi="Arial" w:cs="Arial"/>
        </w:rPr>
        <w:footnoteRef/>
      </w:r>
      <w:r w:rsidRPr="00E406B2">
        <w:rPr>
          <w:rFonts w:ascii="Arial" w:hAnsi="Arial" w:cs="Arial"/>
        </w:rPr>
        <w:t xml:space="preserve"> </w:t>
      </w:r>
      <w:r w:rsidRPr="00E406B2">
        <w:rPr>
          <w:rFonts w:ascii="Arial" w:hAnsi="Arial" w:cs="Arial"/>
        </w:rPr>
        <w:tab/>
        <w:t xml:space="preserve">ABS (2019), </w:t>
      </w:r>
      <w:r w:rsidRPr="00E406B2">
        <w:rPr>
          <w:rFonts w:ascii="Arial" w:hAnsi="Arial" w:cs="Arial"/>
          <w:i/>
        </w:rPr>
        <w:t>Employee Earnings and Hours, Australia, May 2018</w:t>
      </w:r>
      <w:r w:rsidRPr="00E406B2">
        <w:rPr>
          <w:rFonts w:ascii="Arial" w:hAnsi="Arial" w:cs="Arial"/>
        </w:rPr>
        <w:t>, catalogue 6306.0.</w:t>
      </w:r>
    </w:p>
  </w:footnote>
  <w:footnote w:id="35">
    <w:p w:rsidR="00FC79A1" w:rsidRDefault="00FC79A1" w:rsidP="006B3D12">
      <w:pPr>
        <w:pStyle w:val="FootnoteText"/>
        <w:spacing w:before="60"/>
        <w:ind w:left="284" w:hanging="284"/>
        <w:jc w:val="both"/>
      </w:pPr>
      <w:r w:rsidRPr="006A216D">
        <w:rPr>
          <w:rStyle w:val="FootnoteReference"/>
          <w:rFonts w:asciiTheme="minorHAnsi" w:hAnsiTheme="minorHAnsi" w:cstheme="minorHAnsi"/>
        </w:rPr>
        <w:footnoteRef/>
      </w:r>
      <w:r>
        <w:t xml:space="preserve"> </w:t>
      </w:r>
      <w:r>
        <w:tab/>
      </w:r>
      <w:r w:rsidRPr="00E406B2">
        <w:rPr>
          <w:rFonts w:asciiTheme="minorHAnsi" w:hAnsiTheme="minorHAnsi" w:cstheme="minorHAnsi"/>
        </w:rPr>
        <w:t>Reserve Bank of Australia (RBA)</w:t>
      </w:r>
      <w:r>
        <w:rPr>
          <w:rFonts w:asciiTheme="minorHAnsi" w:hAnsiTheme="minorHAnsi" w:cstheme="minorHAnsi"/>
        </w:rPr>
        <w:t xml:space="preserve">, Keynote Address at the Australian Financial Review Business Summit, Sydney, 11 March 2020 (Guy Debelle, Deputy Governor). Available at: </w:t>
      </w:r>
      <w:hyperlink r:id="rId1" w:history="1">
        <w:r w:rsidRPr="00E50625">
          <w:rPr>
            <w:rStyle w:val="Hyperlink"/>
            <w:rFonts w:asciiTheme="minorHAnsi" w:hAnsiTheme="minorHAnsi" w:cstheme="minorBidi"/>
            <w:lang w:eastAsia="en-US"/>
          </w:rPr>
          <w:t>www.rba.gov.au/speeches/2020/sp-dg-2020-03-11.html</w:t>
        </w:r>
      </w:hyperlink>
    </w:p>
  </w:footnote>
  <w:footnote w:id="36">
    <w:p w:rsidR="00FC79A1" w:rsidRPr="00F0593D" w:rsidRDefault="00FC79A1" w:rsidP="000200DD">
      <w:pPr>
        <w:pStyle w:val="FootnoteText"/>
        <w:spacing w:before="60"/>
        <w:ind w:left="284" w:hanging="284"/>
        <w:jc w:val="both"/>
        <w:rPr>
          <w:rFonts w:asciiTheme="minorHAnsi" w:hAnsiTheme="minorHAnsi" w:cstheme="minorHAnsi"/>
        </w:rPr>
      </w:pPr>
      <w:r w:rsidRPr="00E406B2">
        <w:rPr>
          <w:rStyle w:val="FootnoteReference"/>
          <w:rFonts w:asciiTheme="minorHAnsi" w:hAnsiTheme="minorHAnsi" w:cstheme="minorHAnsi"/>
        </w:rPr>
        <w:footnoteRef/>
      </w:r>
      <w:r w:rsidRPr="00E406B2">
        <w:rPr>
          <w:rFonts w:asciiTheme="minorHAnsi" w:hAnsiTheme="minorHAnsi" w:cstheme="minorHAnsi"/>
        </w:rPr>
        <w:t xml:space="preserve"> </w:t>
      </w:r>
      <w:r w:rsidRPr="00E406B2">
        <w:rPr>
          <w:rFonts w:asciiTheme="minorHAnsi" w:hAnsiTheme="minorHAnsi" w:cstheme="minorHAnsi"/>
        </w:rPr>
        <w:tab/>
      </w:r>
      <w:r>
        <w:rPr>
          <w:rFonts w:asciiTheme="minorHAnsi" w:hAnsiTheme="minorHAnsi" w:cstheme="minorHAnsi"/>
        </w:rPr>
        <w:t xml:space="preserve">Reserve Bank of Australia (RBA), Opening Statement to the House of Representatives Standing Committee on Economics, Parliament of Australia, Canberra, 7 February 2020 (Philip Lowe, Governor). Available at: </w:t>
      </w:r>
      <w:hyperlink r:id="rId2" w:history="1">
        <w:r w:rsidRPr="00F0593D">
          <w:rPr>
            <w:rFonts w:asciiTheme="minorHAnsi" w:hAnsiTheme="minorHAnsi" w:cstheme="minorBidi"/>
            <w:color w:val="0000FF"/>
            <w:u w:val="single"/>
            <w:lang w:eastAsia="en-US"/>
          </w:rPr>
          <w:t>https://www.rba.gov.au/speeches/2020/sp-gov-2020-02-07.html</w:t>
        </w:r>
      </w:hyperlink>
    </w:p>
  </w:footnote>
  <w:footnote w:id="37">
    <w:p w:rsidR="00FC79A1" w:rsidRDefault="00FC79A1" w:rsidP="00E82159">
      <w:pPr>
        <w:pStyle w:val="FootnoteText"/>
        <w:ind w:left="284" w:hanging="284"/>
        <w:jc w:val="both"/>
        <w:rPr>
          <w:rFonts w:ascii="Arial" w:hAnsi="Arial" w:cs="Arial"/>
        </w:rPr>
      </w:pPr>
      <w:r>
        <w:rPr>
          <w:rStyle w:val="FootnoteReference"/>
          <w:rFonts w:ascii="Arial" w:hAnsi="Arial" w:cs="Arial"/>
        </w:rPr>
        <w:footnoteRef/>
      </w:r>
      <w:r>
        <w:rPr>
          <w:rFonts w:ascii="Arial" w:hAnsi="Arial" w:cs="Arial"/>
        </w:rPr>
        <w:tab/>
        <w:t xml:space="preserve">The frequency of the AWE series changed from quarterly to biannual in 2012, with the November 2012 issue the first produced on a biannual basis.  AWE data will now be produced twice a year relating to the May and November reference periods. </w:t>
      </w:r>
    </w:p>
  </w:footnote>
  <w:footnote w:id="38">
    <w:p w:rsidR="00FC79A1" w:rsidRDefault="00FC79A1" w:rsidP="00E82159">
      <w:pPr>
        <w:pStyle w:val="FootnoteText"/>
        <w:ind w:left="284" w:hanging="284"/>
        <w:jc w:val="both"/>
      </w:pPr>
      <w:r>
        <w:rPr>
          <w:rStyle w:val="FootnoteReference"/>
          <w:rFonts w:ascii="Arial" w:hAnsi="Arial" w:cs="Arial"/>
        </w:rPr>
        <w:footnoteRef/>
      </w:r>
      <w:r>
        <w:rPr>
          <w:rFonts w:ascii="Arial" w:hAnsi="Arial" w:cs="Arial"/>
        </w:rPr>
        <w:tab/>
        <w:t>For example, the mining industry has a large impact on the State’s earnings measures (as earnings tend to be high in this sector).  One reason that earnings for the mining industry are higher than the average for all industries is that workers in the mining industry tend to work longer hours and receive allowances for shift work and working in isolated locations.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A1" w:rsidRDefault="00FC7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A1" w:rsidRDefault="00FC7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A1" w:rsidRDefault="00FC79A1">
    <w:pPr>
      <w:pStyle w:val="Header"/>
      <w:jc w:val="right"/>
    </w:pPr>
  </w:p>
  <w:p w:rsidR="00FC79A1" w:rsidRDefault="00FC79A1" w:rsidP="008B0C4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A1" w:rsidRDefault="00FC79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A1" w:rsidRDefault="00FC79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A1" w:rsidRDefault="00FC79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A1" w:rsidRDefault="00FC79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A1" w:rsidRDefault="00FC79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A1" w:rsidRDefault="00FC7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F51"/>
    <w:multiLevelType w:val="multilevel"/>
    <w:tmpl w:val="A89E40FA"/>
    <w:lvl w:ilvl="0">
      <w:start w:val="1"/>
      <w:numFmt w:val="bullet"/>
      <w:lvlText w:val=""/>
      <w:lvlJc w:val="left"/>
      <w:pPr>
        <w:tabs>
          <w:tab w:val="num" w:pos="1104"/>
        </w:tabs>
        <w:ind w:left="1104" w:hanging="360"/>
      </w:pPr>
      <w:rPr>
        <w:rFonts w:ascii="Symbol" w:hAnsi="Symbol" w:hint="default"/>
        <w:sz w:val="20"/>
      </w:rPr>
    </w:lvl>
    <w:lvl w:ilvl="1" w:tentative="1">
      <w:start w:val="1"/>
      <w:numFmt w:val="bullet"/>
      <w:lvlText w:val="o"/>
      <w:lvlJc w:val="left"/>
      <w:pPr>
        <w:tabs>
          <w:tab w:val="num" w:pos="1824"/>
        </w:tabs>
        <w:ind w:left="1824" w:hanging="360"/>
      </w:pPr>
      <w:rPr>
        <w:rFonts w:ascii="Courier New" w:hAnsi="Courier New" w:hint="default"/>
        <w:sz w:val="20"/>
      </w:rPr>
    </w:lvl>
    <w:lvl w:ilvl="2" w:tentative="1">
      <w:start w:val="1"/>
      <w:numFmt w:val="bullet"/>
      <w:lvlText w:val=""/>
      <w:lvlJc w:val="left"/>
      <w:pPr>
        <w:tabs>
          <w:tab w:val="num" w:pos="2544"/>
        </w:tabs>
        <w:ind w:left="2544" w:hanging="360"/>
      </w:pPr>
      <w:rPr>
        <w:rFonts w:ascii="Wingdings" w:hAnsi="Wingdings" w:hint="default"/>
        <w:sz w:val="20"/>
      </w:rPr>
    </w:lvl>
    <w:lvl w:ilvl="3" w:tentative="1">
      <w:start w:val="1"/>
      <w:numFmt w:val="bullet"/>
      <w:lvlText w:val=""/>
      <w:lvlJc w:val="left"/>
      <w:pPr>
        <w:tabs>
          <w:tab w:val="num" w:pos="3264"/>
        </w:tabs>
        <w:ind w:left="3264" w:hanging="360"/>
      </w:pPr>
      <w:rPr>
        <w:rFonts w:ascii="Wingdings" w:hAnsi="Wingdings" w:hint="default"/>
        <w:sz w:val="20"/>
      </w:rPr>
    </w:lvl>
    <w:lvl w:ilvl="4" w:tentative="1">
      <w:start w:val="1"/>
      <w:numFmt w:val="bullet"/>
      <w:lvlText w:val=""/>
      <w:lvlJc w:val="left"/>
      <w:pPr>
        <w:tabs>
          <w:tab w:val="num" w:pos="3984"/>
        </w:tabs>
        <w:ind w:left="3984" w:hanging="360"/>
      </w:pPr>
      <w:rPr>
        <w:rFonts w:ascii="Wingdings" w:hAnsi="Wingdings" w:hint="default"/>
        <w:sz w:val="20"/>
      </w:rPr>
    </w:lvl>
    <w:lvl w:ilvl="5" w:tentative="1">
      <w:start w:val="1"/>
      <w:numFmt w:val="bullet"/>
      <w:lvlText w:val=""/>
      <w:lvlJc w:val="left"/>
      <w:pPr>
        <w:tabs>
          <w:tab w:val="num" w:pos="4704"/>
        </w:tabs>
        <w:ind w:left="4704" w:hanging="360"/>
      </w:pPr>
      <w:rPr>
        <w:rFonts w:ascii="Wingdings" w:hAnsi="Wingdings" w:hint="default"/>
        <w:sz w:val="20"/>
      </w:rPr>
    </w:lvl>
    <w:lvl w:ilvl="6" w:tentative="1">
      <w:start w:val="1"/>
      <w:numFmt w:val="bullet"/>
      <w:lvlText w:val=""/>
      <w:lvlJc w:val="left"/>
      <w:pPr>
        <w:tabs>
          <w:tab w:val="num" w:pos="5424"/>
        </w:tabs>
        <w:ind w:left="5424" w:hanging="360"/>
      </w:pPr>
      <w:rPr>
        <w:rFonts w:ascii="Wingdings" w:hAnsi="Wingdings" w:hint="default"/>
        <w:sz w:val="20"/>
      </w:rPr>
    </w:lvl>
    <w:lvl w:ilvl="7" w:tentative="1">
      <w:start w:val="1"/>
      <w:numFmt w:val="bullet"/>
      <w:lvlText w:val=""/>
      <w:lvlJc w:val="left"/>
      <w:pPr>
        <w:tabs>
          <w:tab w:val="num" w:pos="6144"/>
        </w:tabs>
        <w:ind w:left="6144" w:hanging="360"/>
      </w:pPr>
      <w:rPr>
        <w:rFonts w:ascii="Wingdings" w:hAnsi="Wingdings" w:hint="default"/>
        <w:sz w:val="20"/>
      </w:rPr>
    </w:lvl>
    <w:lvl w:ilvl="8" w:tentative="1">
      <w:start w:val="1"/>
      <w:numFmt w:val="bullet"/>
      <w:lvlText w:val=""/>
      <w:lvlJc w:val="left"/>
      <w:pPr>
        <w:tabs>
          <w:tab w:val="num" w:pos="6864"/>
        </w:tabs>
        <w:ind w:left="6864" w:hanging="360"/>
      </w:pPr>
      <w:rPr>
        <w:rFonts w:ascii="Wingdings" w:hAnsi="Wingdings" w:hint="default"/>
        <w:sz w:val="20"/>
      </w:rPr>
    </w:lvl>
  </w:abstractNum>
  <w:abstractNum w:abstractNumId="1" w15:restartNumberingAfterBreak="0">
    <w:nsid w:val="0C135A46"/>
    <w:multiLevelType w:val="hybridMultilevel"/>
    <w:tmpl w:val="42B0DC7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3" w15:restartNumberingAfterBreak="0">
    <w:nsid w:val="19E47981"/>
    <w:multiLevelType w:val="multilevel"/>
    <w:tmpl w:val="0AA25E70"/>
    <w:numStyleLink w:val="AgencyBullets"/>
  </w:abstractNum>
  <w:abstractNum w:abstractNumId="4" w15:restartNumberingAfterBreak="0">
    <w:nsid w:val="1BE96EE3"/>
    <w:multiLevelType w:val="hybridMultilevel"/>
    <w:tmpl w:val="B2A0319A"/>
    <w:lvl w:ilvl="0" w:tplc="0C090001">
      <w:start w:val="1"/>
      <w:numFmt w:val="bullet"/>
      <w:lvlText w:val=""/>
      <w:lvlJc w:val="left"/>
      <w:pPr>
        <w:ind w:left="1284" w:hanging="360"/>
      </w:pPr>
      <w:rPr>
        <w:rFonts w:ascii="Symbol" w:hAnsi="Symbol" w:hint="default"/>
      </w:rPr>
    </w:lvl>
    <w:lvl w:ilvl="1" w:tplc="0C090003" w:tentative="1">
      <w:start w:val="1"/>
      <w:numFmt w:val="bullet"/>
      <w:lvlText w:val="o"/>
      <w:lvlJc w:val="left"/>
      <w:pPr>
        <w:ind w:left="2004" w:hanging="360"/>
      </w:pPr>
      <w:rPr>
        <w:rFonts w:ascii="Courier New" w:hAnsi="Courier New" w:cs="Courier New" w:hint="default"/>
      </w:rPr>
    </w:lvl>
    <w:lvl w:ilvl="2" w:tplc="0C090005" w:tentative="1">
      <w:start w:val="1"/>
      <w:numFmt w:val="bullet"/>
      <w:lvlText w:val=""/>
      <w:lvlJc w:val="left"/>
      <w:pPr>
        <w:ind w:left="2724" w:hanging="360"/>
      </w:pPr>
      <w:rPr>
        <w:rFonts w:ascii="Wingdings" w:hAnsi="Wingdings" w:hint="default"/>
      </w:rPr>
    </w:lvl>
    <w:lvl w:ilvl="3" w:tplc="0C090001" w:tentative="1">
      <w:start w:val="1"/>
      <w:numFmt w:val="bullet"/>
      <w:lvlText w:val=""/>
      <w:lvlJc w:val="left"/>
      <w:pPr>
        <w:ind w:left="3444" w:hanging="360"/>
      </w:pPr>
      <w:rPr>
        <w:rFonts w:ascii="Symbol" w:hAnsi="Symbol" w:hint="default"/>
      </w:rPr>
    </w:lvl>
    <w:lvl w:ilvl="4" w:tplc="0C090003" w:tentative="1">
      <w:start w:val="1"/>
      <w:numFmt w:val="bullet"/>
      <w:lvlText w:val="o"/>
      <w:lvlJc w:val="left"/>
      <w:pPr>
        <w:ind w:left="4164" w:hanging="360"/>
      </w:pPr>
      <w:rPr>
        <w:rFonts w:ascii="Courier New" w:hAnsi="Courier New" w:cs="Courier New" w:hint="default"/>
      </w:rPr>
    </w:lvl>
    <w:lvl w:ilvl="5" w:tplc="0C090005" w:tentative="1">
      <w:start w:val="1"/>
      <w:numFmt w:val="bullet"/>
      <w:lvlText w:val=""/>
      <w:lvlJc w:val="left"/>
      <w:pPr>
        <w:ind w:left="4884" w:hanging="360"/>
      </w:pPr>
      <w:rPr>
        <w:rFonts w:ascii="Wingdings" w:hAnsi="Wingdings" w:hint="default"/>
      </w:rPr>
    </w:lvl>
    <w:lvl w:ilvl="6" w:tplc="0C090001" w:tentative="1">
      <w:start w:val="1"/>
      <w:numFmt w:val="bullet"/>
      <w:lvlText w:val=""/>
      <w:lvlJc w:val="left"/>
      <w:pPr>
        <w:ind w:left="5604" w:hanging="360"/>
      </w:pPr>
      <w:rPr>
        <w:rFonts w:ascii="Symbol" w:hAnsi="Symbol" w:hint="default"/>
      </w:rPr>
    </w:lvl>
    <w:lvl w:ilvl="7" w:tplc="0C090003" w:tentative="1">
      <w:start w:val="1"/>
      <w:numFmt w:val="bullet"/>
      <w:lvlText w:val="o"/>
      <w:lvlJc w:val="left"/>
      <w:pPr>
        <w:ind w:left="6324" w:hanging="360"/>
      </w:pPr>
      <w:rPr>
        <w:rFonts w:ascii="Courier New" w:hAnsi="Courier New" w:cs="Courier New" w:hint="default"/>
      </w:rPr>
    </w:lvl>
    <w:lvl w:ilvl="8" w:tplc="0C090005" w:tentative="1">
      <w:start w:val="1"/>
      <w:numFmt w:val="bullet"/>
      <w:lvlText w:val=""/>
      <w:lvlJc w:val="left"/>
      <w:pPr>
        <w:ind w:left="7044" w:hanging="360"/>
      </w:pPr>
      <w:rPr>
        <w:rFonts w:ascii="Wingdings" w:hAnsi="Wingdings" w:hint="default"/>
      </w:rPr>
    </w:lvl>
  </w:abstractNum>
  <w:abstractNum w:abstractNumId="5"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7" w15:restartNumberingAfterBreak="0">
    <w:nsid w:val="28767D27"/>
    <w:multiLevelType w:val="hybridMultilevel"/>
    <w:tmpl w:val="602ABCC8"/>
    <w:lvl w:ilvl="0" w:tplc="BBCC02B0">
      <w:start w:val="50"/>
      <w:numFmt w:val="decimal"/>
      <w:lvlText w:val="%1."/>
      <w:lvlJc w:val="left"/>
      <w:pPr>
        <w:ind w:left="720" w:hanging="360"/>
      </w:pPr>
      <w:rPr>
        <w:rFonts w:hint="default"/>
        <w:b w:val="0"/>
        <w:i w:val="0"/>
        <w:color w:val="000000" w:themeColor="text1"/>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1066D5"/>
    <w:multiLevelType w:val="hybridMultilevel"/>
    <w:tmpl w:val="937ED61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40EF60A1"/>
    <w:multiLevelType w:val="multilevel"/>
    <w:tmpl w:val="77DEEFC4"/>
    <w:numStyleLink w:val="AgencyNumbers"/>
  </w:abstractNum>
  <w:abstractNum w:abstractNumId="10" w15:restartNumberingAfterBreak="0">
    <w:nsid w:val="41B20D18"/>
    <w:multiLevelType w:val="multilevel"/>
    <w:tmpl w:val="C4023126"/>
    <w:numStyleLink w:val="AgencyTableBullets"/>
  </w:abstractNum>
  <w:abstractNum w:abstractNumId="11" w15:restartNumberingAfterBreak="0">
    <w:nsid w:val="4474526F"/>
    <w:multiLevelType w:val="multilevel"/>
    <w:tmpl w:val="D5A4B100"/>
    <w:numStyleLink w:val="AgencyTableNumbers"/>
  </w:abstractNum>
  <w:abstractNum w:abstractNumId="12"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3" w15:restartNumberingAfterBreak="0">
    <w:nsid w:val="51920A4B"/>
    <w:multiLevelType w:val="hybridMultilevel"/>
    <w:tmpl w:val="21806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9A1DCD"/>
    <w:multiLevelType w:val="hybridMultilevel"/>
    <w:tmpl w:val="E9482EBC"/>
    <w:lvl w:ilvl="0" w:tplc="4A3C38E4">
      <w:start w:val="14"/>
      <w:numFmt w:val="bullet"/>
      <w:lvlText w:val=""/>
      <w:lvlJc w:val="left"/>
      <w:pPr>
        <w:ind w:left="927" w:hanging="360"/>
      </w:pPr>
      <w:rPr>
        <w:rFonts w:ascii="Symbol" w:eastAsia="Times New Roman" w:hAnsi="Symbol"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7CCE2C1B"/>
    <w:multiLevelType w:val="hybridMultilevel"/>
    <w:tmpl w:val="A2E01A9A"/>
    <w:lvl w:ilvl="0" w:tplc="50EE1BD6">
      <w:start w:val="1"/>
      <w:numFmt w:val="decimal"/>
      <w:lvlText w:val="%1."/>
      <w:lvlJc w:val="left"/>
      <w:pPr>
        <w:ind w:left="720" w:hanging="360"/>
      </w:pPr>
      <w:rPr>
        <w:rFonts w:ascii="Arial" w:hAnsi="Arial" w:cs="Arial" w:hint="default"/>
        <w:b w:val="0"/>
        <w:color w:val="000000" w:themeColor="text1"/>
        <w:sz w:val="24"/>
        <w:szCs w:val="24"/>
      </w:rPr>
    </w:lvl>
    <w:lvl w:ilvl="1" w:tplc="659A2E58">
      <w:start w:val="1"/>
      <w:numFmt w:val="lowerLetter"/>
      <w:lvlText w:val="(%2)"/>
      <w:lvlJc w:val="left"/>
      <w:pPr>
        <w:ind w:left="1800" w:hanging="720"/>
      </w:pPr>
      <w:rPr>
        <w:rFonts w:hint="default"/>
      </w:rPr>
    </w:lvl>
    <w:lvl w:ilvl="2" w:tplc="2348095A">
      <w:start w:val="24"/>
      <w:numFmt w:val="bullet"/>
      <w:lvlText w:val=""/>
      <w:lvlJc w:val="left"/>
      <w:pPr>
        <w:ind w:left="2340" w:hanging="360"/>
      </w:pPr>
      <w:rPr>
        <w:rFonts w:ascii="Wingdings 2" w:eastAsia="Times New Roman" w:hAnsi="Wingdings 2" w:cs="Arial" w:hint="default"/>
      </w:rPr>
    </w:lvl>
    <w:lvl w:ilvl="3" w:tplc="1F845AF8">
      <w:start w:val="24"/>
      <w:numFmt w:val="bullet"/>
      <w:lvlText w:val=""/>
      <w:lvlJc w:val="left"/>
      <w:pPr>
        <w:ind w:left="2880" w:hanging="360"/>
      </w:pPr>
      <w:rPr>
        <w:rFonts w:ascii="Symbol" w:eastAsia="Times New Roman" w:hAnsi="Symbo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5"/>
  </w:num>
  <w:num w:numId="5">
    <w:abstractNumId w:val="9"/>
  </w:num>
  <w:num w:numId="6">
    <w:abstractNumId w:val="10"/>
  </w:num>
  <w:num w:numId="7">
    <w:abstractNumId w:val="11"/>
  </w:num>
  <w:num w:numId="8">
    <w:abstractNumId w:val="3"/>
  </w:num>
  <w:num w:numId="9">
    <w:abstractNumId w:val="3"/>
  </w:num>
  <w:num w:numId="10">
    <w:abstractNumId w:val="9"/>
  </w:num>
  <w:num w:numId="11">
    <w:abstractNumId w:val="3"/>
  </w:num>
  <w:num w:numId="12">
    <w:abstractNumId w:val="3"/>
  </w:num>
  <w:num w:numId="13">
    <w:abstractNumId w:val="3"/>
  </w:num>
  <w:num w:numId="14">
    <w:abstractNumId w:val="3"/>
  </w:num>
  <w:num w:numId="15">
    <w:abstractNumId w:val="9"/>
  </w:num>
  <w:num w:numId="16">
    <w:abstractNumId w:val="9"/>
  </w:num>
  <w:num w:numId="17">
    <w:abstractNumId w:val="9"/>
  </w:num>
  <w:num w:numId="18">
    <w:abstractNumId w:val="9"/>
  </w:num>
  <w:num w:numId="19">
    <w:abstractNumId w:val="6"/>
  </w:num>
  <w:num w:numId="20">
    <w:abstractNumId w:val="12"/>
  </w:num>
  <w:num w:numId="21">
    <w:abstractNumId w:val="2"/>
  </w:num>
  <w:num w:numId="22">
    <w:abstractNumId w:val="5"/>
  </w:num>
  <w:num w:numId="23">
    <w:abstractNumId w:val="10"/>
  </w:num>
  <w:num w:numId="24">
    <w:abstractNumId w:val="11"/>
  </w:num>
  <w:num w:numId="25">
    <w:abstractNumId w:val="15"/>
  </w:num>
  <w:num w:numId="26">
    <w:abstractNumId w:val="8"/>
  </w:num>
  <w:num w:numId="27">
    <w:abstractNumId w:val="13"/>
  </w:num>
  <w:num w:numId="28">
    <w:abstractNumId w:val="7"/>
  </w:num>
  <w:num w:numId="29">
    <w:abstractNumId w:val="1"/>
  </w:num>
  <w:num w:numId="30">
    <w:abstractNumId w:val="14"/>
  </w:num>
  <w:num w:numId="31">
    <w:abstractNumId w:val="4"/>
  </w:num>
  <w:num w:numId="32">
    <w:abstractNumId w:val="0"/>
  </w:num>
  <w:num w:numId="33">
    <w:abstractNumId w:val="1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567"/>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4E"/>
    <w:rsid w:val="00003C4D"/>
    <w:rsid w:val="00005285"/>
    <w:rsid w:val="000067AF"/>
    <w:rsid w:val="00006BC7"/>
    <w:rsid w:val="000126D3"/>
    <w:rsid w:val="000200DD"/>
    <w:rsid w:val="000229AD"/>
    <w:rsid w:val="000240B8"/>
    <w:rsid w:val="000242F3"/>
    <w:rsid w:val="00025D69"/>
    <w:rsid w:val="00030161"/>
    <w:rsid w:val="0003732C"/>
    <w:rsid w:val="000628DD"/>
    <w:rsid w:val="00070650"/>
    <w:rsid w:val="00077A76"/>
    <w:rsid w:val="00081F4F"/>
    <w:rsid w:val="00083AAE"/>
    <w:rsid w:val="00087E7C"/>
    <w:rsid w:val="000D1BDA"/>
    <w:rsid w:val="000D5F36"/>
    <w:rsid w:val="000D6278"/>
    <w:rsid w:val="000D7DBF"/>
    <w:rsid w:val="000E1546"/>
    <w:rsid w:val="000F4B54"/>
    <w:rsid w:val="000F5A38"/>
    <w:rsid w:val="00101A4E"/>
    <w:rsid w:val="00117846"/>
    <w:rsid w:val="00120C2D"/>
    <w:rsid w:val="00127A81"/>
    <w:rsid w:val="0014777D"/>
    <w:rsid w:val="00150D6F"/>
    <w:rsid w:val="0015286C"/>
    <w:rsid w:val="00153A07"/>
    <w:rsid w:val="0015599A"/>
    <w:rsid w:val="00161BAC"/>
    <w:rsid w:val="00166F4F"/>
    <w:rsid w:val="0016706F"/>
    <w:rsid w:val="001723E2"/>
    <w:rsid w:val="00175B21"/>
    <w:rsid w:val="00182318"/>
    <w:rsid w:val="001853E7"/>
    <w:rsid w:val="001862DE"/>
    <w:rsid w:val="001879E1"/>
    <w:rsid w:val="001C23DF"/>
    <w:rsid w:val="001C316F"/>
    <w:rsid w:val="001C5482"/>
    <w:rsid w:val="001D2EB0"/>
    <w:rsid w:val="001E38AF"/>
    <w:rsid w:val="001F0F09"/>
    <w:rsid w:val="001F1168"/>
    <w:rsid w:val="001F1CA8"/>
    <w:rsid w:val="0021319C"/>
    <w:rsid w:val="00217BF0"/>
    <w:rsid w:val="002230CD"/>
    <w:rsid w:val="00232131"/>
    <w:rsid w:val="00243F51"/>
    <w:rsid w:val="00263400"/>
    <w:rsid w:val="0026586F"/>
    <w:rsid w:val="00273707"/>
    <w:rsid w:val="002760CB"/>
    <w:rsid w:val="00287975"/>
    <w:rsid w:val="002A3325"/>
    <w:rsid w:val="002B44BC"/>
    <w:rsid w:val="002B6FE9"/>
    <w:rsid w:val="002D4783"/>
    <w:rsid w:val="002E3D4E"/>
    <w:rsid w:val="002E7DD3"/>
    <w:rsid w:val="002F4D40"/>
    <w:rsid w:val="00306FAF"/>
    <w:rsid w:val="00307B34"/>
    <w:rsid w:val="00307B64"/>
    <w:rsid w:val="00307D59"/>
    <w:rsid w:val="00316310"/>
    <w:rsid w:val="00321C39"/>
    <w:rsid w:val="00327D01"/>
    <w:rsid w:val="00331953"/>
    <w:rsid w:val="0033401D"/>
    <w:rsid w:val="00334E55"/>
    <w:rsid w:val="00335D88"/>
    <w:rsid w:val="003360F9"/>
    <w:rsid w:val="00345D08"/>
    <w:rsid w:val="00361B05"/>
    <w:rsid w:val="00364B70"/>
    <w:rsid w:val="00371FB3"/>
    <w:rsid w:val="00375984"/>
    <w:rsid w:val="0038179F"/>
    <w:rsid w:val="0038356A"/>
    <w:rsid w:val="00383D74"/>
    <w:rsid w:val="003A6B98"/>
    <w:rsid w:val="003B68D0"/>
    <w:rsid w:val="003D136C"/>
    <w:rsid w:val="003E034F"/>
    <w:rsid w:val="003E2ADF"/>
    <w:rsid w:val="003E5706"/>
    <w:rsid w:val="003E78C6"/>
    <w:rsid w:val="003F4681"/>
    <w:rsid w:val="003F68F5"/>
    <w:rsid w:val="003F7D47"/>
    <w:rsid w:val="004108AE"/>
    <w:rsid w:val="00412FC7"/>
    <w:rsid w:val="00416D88"/>
    <w:rsid w:val="004411E4"/>
    <w:rsid w:val="004436E1"/>
    <w:rsid w:val="00462254"/>
    <w:rsid w:val="004666A6"/>
    <w:rsid w:val="004715DB"/>
    <w:rsid w:val="0048291F"/>
    <w:rsid w:val="00482C8C"/>
    <w:rsid w:val="00490548"/>
    <w:rsid w:val="00490B43"/>
    <w:rsid w:val="004B17CF"/>
    <w:rsid w:val="004C12D6"/>
    <w:rsid w:val="004C3B9E"/>
    <w:rsid w:val="004C5DAB"/>
    <w:rsid w:val="004C7453"/>
    <w:rsid w:val="004F2568"/>
    <w:rsid w:val="004F29C6"/>
    <w:rsid w:val="004F5B07"/>
    <w:rsid w:val="004F6AB4"/>
    <w:rsid w:val="00502FFE"/>
    <w:rsid w:val="005107FD"/>
    <w:rsid w:val="0051210E"/>
    <w:rsid w:val="005127E4"/>
    <w:rsid w:val="00517B50"/>
    <w:rsid w:val="005208C4"/>
    <w:rsid w:val="00521B09"/>
    <w:rsid w:val="005233B2"/>
    <w:rsid w:val="005556CC"/>
    <w:rsid w:val="00556CD6"/>
    <w:rsid w:val="005621DE"/>
    <w:rsid w:val="005703BD"/>
    <w:rsid w:val="00582D43"/>
    <w:rsid w:val="00590725"/>
    <w:rsid w:val="005941D5"/>
    <w:rsid w:val="005B452A"/>
    <w:rsid w:val="005C7F45"/>
    <w:rsid w:val="005E5C91"/>
    <w:rsid w:val="005F1D0B"/>
    <w:rsid w:val="00600DA4"/>
    <w:rsid w:val="006029B2"/>
    <w:rsid w:val="0060463F"/>
    <w:rsid w:val="0060641B"/>
    <w:rsid w:val="0061612B"/>
    <w:rsid w:val="0064795E"/>
    <w:rsid w:val="00650D8C"/>
    <w:rsid w:val="00664B55"/>
    <w:rsid w:val="006756B8"/>
    <w:rsid w:val="0069124D"/>
    <w:rsid w:val="0069487A"/>
    <w:rsid w:val="00695AA5"/>
    <w:rsid w:val="006A216D"/>
    <w:rsid w:val="006B372C"/>
    <w:rsid w:val="006B3D12"/>
    <w:rsid w:val="006B4D4A"/>
    <w:rsid w:val="006B50B1"/>
    <w:rsid w:val="006D72E0"/>
    <w:rsid w:val="006F45F7"/>
    <w:rsid w:val="006F6882"/>
    <w:rsid w:val="00700E9D"/>
    <w:rsid w:val="007218E4"/>
    <w:rsid w:val="00725843"/>
    <w:rsid w:val="00731CC5"/>
    <w:rsid w:val="00736097"/>
    <w:rsid w:val="00736B45"/>
    <w:rsid w:val="0075253D"/>
    <w:rsid w:val="007528AA"/>
    <w:rsid w:val="00754E8E"/>
    <w:rsid w:val="00757A2A"/>
    <w:rsid w:val="00765079"/>
    <w:rsid w:val="00773F85"/>
    <w:rsid w:val="007924A1"/>
    <w:rsid w:val="007A35AC"/>
    <w:rsid w:val="007A54B1"/>
    <w:rsid w:val="007B6DAA"/>
    <w:rsid w:val="007E056B"/>
    <w:rsid w:val="007E0A00"/>
    <w:rsid w:val="007F01FA"/>
    <w:rsid w:val="007F1E50"/>
    <w:rsid w:val="007F7D9A"/>
    <w:rsid w:val="00843DD9"/>
    <w:rsid w:val="00854C85"/>
    <w:rsid w:val="008565C8"/>
    <w:rsid w:val="00860F4E"/>
    <w:rsid w:val="00867F01"/>
    <w:rsid w:val="0087303A"/>
    <w:rsid w:val="008754BA"/>
    <w:rsid w:val="00875FE3"/>
    <w:rsid w:val="00884F47"/>
    <w:rsid w:val="00886EED"/>
    <w:rsid w:val="0089012F"/>
    <w:rsid w:val="00891C38"/>
    <w:rsid w:val="008A0283"/>
    <w:rsid w:val="008A72AE"/>
    <w:rsid w:val="008B0C4E"/>
    <w:rsid w:val="008B3041"/>
    <w:rsid w:val="008C5333"/>
    <w:rsid w:val="008D5F84"/>
    <w:rsid w:val="008E0D74"/>
    <w:rsid w:val="008E41EC"/>
    <w:rsid w:val="008E422C"/>
    <w:rsid w:val="008E742A"/>
    <w:rsid w:val="008F12AA"/>
    <w:rsid w:val="00901C34"/>
    <w:rsid w:val="00922D6E"/>
    <w:rsid w:val="00926A1E"/>
    <w:rsid w:val="00930BCD"/>
    <w:rsid w:val="00935B0B"/>
    <w:rsid w:val="00936A4A"/>
    <w:rsid w:val="0094285C"/>
    <w:rsid w:val="00943CC7"/>
    <w:rsid w:val="00944D7D"/>
    <w:rsid w:val="00953276"/>
    <w:rsid w:val="009532BA"/>
    <w:rsid w:val="00972DFC"/>
    <w:rsid w:val="00994726"/>
    <w:rsid w:val="00997600"/>
    <w:rsid w:val="009B0BD9"/>
    <w:rsid w:val="009B5FD2"/>
    <w:rsid w:val="009C0C26"/>
    <w:rsid w:val="009D1B59"/>
    <w:rsid w:val="009E605B"/>
    <w:rsid w:val="00A33B50"/>
    <w:rsid w:val="00A362CF"/>
    <w:rsid w:val="00A4382C"/>
    <w:rsid w:val="00A43C4A"/>
    <w:rsid w:val="00A559AD"/>
    <w:rsid w:val="00A663DD"/>
    <w:rsid w:val="00A666D9"/>
    <w:rsid w:val="00A67961"/>
    <w:rsid w:val="00A73213"/>
    <w:rsid w:val="00A768BE"/>
    <w:rsid w:val="00A804F9"/>
    <w:rsid w:val="00A812E0"/>
    <w:rsid w:val="00A826CA"/>
    <w:rsid w:val="00A865D9"/>
    <w:rsid w:val="00A9697F"/>
    <w:rsid w:val="00AB0264"/>
    <w:rsid w:val="00AC1C90"/>
    <w:rsid w:val="00AC3846"/>
    <w:rsid w:val="00AC547C"/>
    <w:rsid w:val="00AD0559"/>
    <w:rsid w:val="00AD59D8"/>
    <w:rsid w:val="00AD6BA8"/>
    <w:rsid w:val="00AE6CF0"/>
    <w:rsid w:val="00AF194D"/>
    <w:rsid w:val="00B00EDA"/>
    <w:rsid w:val="00B03B84"/>
    <w:rsid w:val="00B05822"/>
    <w:rsid w:val="00B25364"/>
    <w:rsid w:val="00B40BAE"/>
    <w:rsid w:val="00B40FAC"/>
    <w:rsid w:val="00B4205B"/>
    <w:rsid w:val="00B45BCE"/>
    <w:rsid w:val="00B531C7"/>
    <w:rsid w:val="00B64BB0"/>
    <w:rsid w:val="00B762F2"/>
    <w:rsid w:val="00B818D4"/>
    <w:rsid w:val="00B81C0B"/>
    <w:rsid w:val="00B96B1B"/>
    <w:rsid w:val="00BA2171"/>
    <w:rsid w:val="00BB241A"/>
    <w:rsid w:val="00BC4605"/>
    <w:rsid w:val="00BC5B97"/>
    <w:rsid w:val="00BC790D"/>
    <w:rsid w:val="00BD1947"/>
    <w:rsid w:val="00BD452D"/>
    <w:rsid w:val="00BD5DC0"/>
    <w:rsid w:val="00BD7FE2"/>
    <w:rsid w:val="00C03CBB"/>
    <w:rsid w:val="00C169C6"/>
    <w:rsid w:val="00C17C2B"/>
    <w:rsid w:val="00C44B84"/>
    <w:rsid w:val="00C524D8"/>
    <w:rsid w:val="00C5726D"/>
    <w:rsid w:val="00C74436"/>
    <w:rsid w:val="00C76840"/>
    <w:rsid w:val="00C851DC"/>
    <w:rsid w:val="00C95C39"/>
    <w:rsid w:val="00C97A98"/>
    <w:rsid w:val="00CA6DE5"/>
    <w:rsid w:val="00CB079B"/>
    <w:rsid w:val="00CB4490"/>
    <w:rsid w:val="00CC4376"/>
    <w:rsid w:val="00CC43BA"/>
    <w:rsid w:val="00CC5FB3"/>
    <w:rsid w:val="00CC7866"/>
    <w:rsid w:val="00CF2ACB"/>
    <w:rsid w:val="00CF6259"/>
    <w:rsid w:val="00D016D8"/>
    <w:rsid w:val="00D025F2"/>
    <w:rsid w:val="00D14F87"/>
    <w:rsid w:val="00D17383"/>
    <w:rsid w:val="00D20BCA"/>
    <w:rsid w:val="00D24CE7"/>
    <w:rsid w:val="00D27E58"/>
    <w:rsid w:val="00D319B9"/>
    <w:rsid w:val="00D43849"/>
    <w:rsid w:val="00D5302E"/>
    <w:rsid w:val="00D53854"/>
    <w:rsid w:val="00D54479"/>
    <w:rsid w:val="00D6395F"/>
    <w:rsid w:val="00D71CF0"/>
    <w:rsid w:val="00D773AF"/>
    <w:rsid w:val="00D9127D"/>
    <w:rsid w:val="00DA100F"/>
    <w:rsid w:val="00DB3B0A"/>
    <w:rsid w:val="00DC016D"/>
    <w:rsid w:val="00DC07FF"/>
    <w:rsid w:val="00DE0A4C"/>
    <w:rsid w:val="00DE5B3B"/>
    <w:rsid w:val="00DF0B2D"/>
    <w:rsid w:val="00DF606D"/>
    <w:rsid w:val="00DF7A38"/>
    <w:rsid w:val="00DF7BE7"/>
    <w:rsid w:val="00E029A7"/>
    <w:rsid w:val="00E166BB"/>
    <w:rsid w:val="00E262D6"/>
    <w:rsid w:val="00E26BBE"/>
    <w:rsid w:val="00E26EED"/>
    <w:rsid w:val="00E30ABB"/>
    <w:rsid w:val="00E335C1"/>
    <w:rsid w:val="00E35D97"/>
    <w:rsid w:val="00E4041E"/>
    <w:rsid w:val="00E406B2"/>
    <w:rsid w:val="00E53B39"/>
    <w:rsid w:val="00E54305"/>
    <w:rsid w:val="00E627A8"/>
    <w:rsid w:val="00E72568"/>
    <w:rsid w:val="00E76ABF"/>
    <w:rsid w:val="00E800BA"/>
    <w:rsid w:val="00E8059E"/>
    <w:rsid w:val="00E82159"/>
    <w:rsid w:val="00E87942"/>
    <w:rsid w:val="00EA3A5A"/>
    <w:rsid w:val="00EA5105"/>
    <w:rsid w:val="00EB048B"/>
    <w:rsid w:val="00EB4BE2"/>
    <w:rsid w:val="00EC15C1"/>
    <w:rsid w:val="00ED1F45"/>
    <w:rsid w:val="00EE4BC4"/>
    <w:rsid w:val="00EE5D86"/>
    <w:rsid w:val="00F03048"/>
    <w:rsid w:val="00F063AB"/>
    <w:rsid w:val="00F06689"/>
    <w:rsid w:val="00F07494"/>
    <w:rsid w:val="00F16737"/>
    <w:rsid w:val="00F17A22"/>
    <w:rsid w:val="00F234F8"/>
    <w:rsid w:val="00F42B9C"/>
    <w:rsid w:val="00F47CE2"/>
    <w:rsid w:val="00F53BB2"/>
    <w:rsid w:val="00F63CAB"/>
    <w:rsid w:val="00FA164E"/>
    <w:rsid w:val="00FA3B9E"/>
    <w:rsid w:val="00FA3EC0"/>
    <w:rsid w:val="00FA7CD3"/>
    <w:rsid w:val="00FB1CCB"/>
    <w:rsid w:val="00FB267B"/>
    <w:rsid w:val="00FB48B4"/>
    <w:rsid w:val="00FB71DF"/>
    <w:rsid w:val="00FB7500"/>
    <w:rsid w:val="00FC1B0D"/>
    <w:rsid w:val="00FC3AB0"/>
    <w:rsid w:val="00FC79A1"/>
    <w:rsid w:val="00FD5004"/>
    <w:rsid w:val="00FD563B"/>
    <w:rsid w:val="00FD5651"/>
    <w:rsid w:val="00FE3BE1"/>
    <w:rsid w:val="00FE61DE"/>
    <w:rsid w:val="00FE6C25"/>
    <w:rsid w:val="00FF08A8"/>
    <w:rsid w:val="00FF53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8644B"/>
  <w15:chartTrackingRefBased/>
  <w15:docId w15:val="{EA67118D-01D3-4CB8-BB37-D13C28B7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860F4E"/>
    <w:pPr>
      <w:spacing w:after="0"/>
    </w:p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styleId="PageNumber">
    <w:name w:val="page number"/>
    <w:basedOn w:val="DefaultParagraphFont"/>
    <w:rsid w:val="008B0C4E"/>
  </w:style>
  <w:style w:type="paragraph" w:styleId="FootnoteText">
    <w:name w:val="footnote text"/>
    <w:basedOn w:val="Normal"/>
    <w:link w:val="FootnoteTextChar"/>
    <w:uiPriority w:val="99"/>
    <w:rsid w:val="008B0C4E"/>
    <w:pPr>
      <w:spacing w:line="240" w:lineRule="auto"/>
    </w:pPr>
    <w:rPr>
      <w:rFonts w:ascii="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rsid w:val="008B0C4E"/>
    <w:rPr>
      <w:rFonts w:ascii="Times New Roman" w:hAnsi="Times New Roman" w:cs="Times New Roman"/>
      <w:sz w:val="20"/>
      <w:szCs w:val="20"/>
      <w:lang w:eastAsia="en-AU"/>
    </w:rPr>
  </w:style>
  <w:style w:type="character" w:styleId="FootnoteReference">
    <w:name w:val="footnote reference"/>
    <w:uiPriority w:val="99"/>
    <w:qFormat/>
    <w:rsid w:val="008B0C4E"/>
    <w:rPr>
      <w:vertAlign w:val="superscript"/>
    </w:rPr>
  </w:style>
  <w:style w:type="table" w:customStyle="1" w:styleId="ColorfulList-Accent21">
    <w:name w:val="Colorful List - Accent 21"/>
    <w:basedOn w:val="TableNormal"/>
    <w:next w:val="ColorfulList-Accent2"/>
    <w:uiPriority w:val="72"/>
    <w:rsid w:val="008B0C4E"/>
    <w:pPr>
      <w:spacing w:after="0" w:line="240" w:lineRule="auto"/>
    </w:pPr>
    <w:rPr>
      <w:rFonts w:ascii="Times New Roman" w:hAnsi="Times New Roman" w:cs="Times New Roman"/>
      <w:color w:val="000000" w:themeColor="text1"/>
      <w:sz w:val="20"/>
      <w:szCs w:val="20"/>
      <w:lang w:eastAsia="en-AU"/>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1-Accent4">
    <w:name w:val="Medium Grid 1 Accent 4"/>
    <w:basedOn w:val="TableNormal"/>
    <w:uiPriority w:val="67"/>
    <w:rsid w:val="008B0C4E"/>
    <w:pPr>
      <w:spacing w:after="0" w:line="240" w:lineRule="auto"/>
    </w:pPr>
    <w:rPr>
      <w:rFonts w:eastAsiaTheme="minorHAns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Accent2">
    <w:name w:val="Colorful List Accent 2"/>
    <w:basedOn w:val="TableNormal"/>
    <w:uiPriority w:val="72"/>
    <w:semiHidden/>
    <w:unhideWhenUsed/>
    <w:rsid w:val="008B0C4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Default">
    <w:name w:val="Default"/>
    <w:rsid w:val="007F7D9A"/>
    <w:pPr>
      <w:autoSpaceDE w:val="0"/>
      <w:autoSpaceDN w:val="0"/>
      <w:adjustRightInd w:val="0"/>
      <w:spacing w:after="0" w:line="240" w:lineRule="auto"/>
    </w:pPr>
    <w:rPr>
      <w:rFonts w:ascii="Arial" w:hAnsi="Arial" w:cs="Arial"/>
      <w:color w:val="000000"/>
    </w:rPr>
  </w:style>
  <w:style w:type="paragraph" w:styleId="NormalWeb">
    <w:name w:val="Normal (Web)"/>
    <w:basedOn w:val="Normal"/>
    <w:uiPriority w:val="99"/>
    <w:unhideWhenUsed/>
    <w:rsid w:val="006A216D"/>
    <w:pPr>
      <w:spacing w:before="100" w:beforeAutospacing="1" w:after="100" w:afterAutospacing="1" w:line="240" w:lineRule="auto"/>
    </w:pPr>
    <w:rPr>
      <w:rFonts w:ascii="Times New Roman" w:hAnsi="Times New Roman" w:cs="Times New Roman"/>
      <w:lang w:eastAsia="en-AU"/>
    </w:rPr>
  </w:style>
  <w:style w:type="character" w:styleId="Strong">
    <w:name w:val="Strong"/>
    <w:basedOn w:val="DefaultParagraphFont"/>
    <w:uiPriority w:val="22"/>
    <w:qFormat/>
    <w:rsid w:val="006A21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51985">
      <w:bodyDiv w:val="1"/>
      <w:marLeft w:val="0"/>
      <w:marRight w:val="0"/>
      <w:marTop w:val="0"/>
      <w:marBottom w:val="0"/>
      <w:divBdr>
        <w:top w:val="none" w:sz="0" w:space="0" w:color="auto"/>
        <w:left w:val="none" w:sz="0" w:space="0" w:color="auto"/>
        <w:bottom w:val="none" w:sz="0" w:space="0" w:color="auto"/>
        <w:right w:val="none" w:sz="0" w:space="0" w:color="auto"/>
      </w:divBdr>
    </w:div>
    <w:div w:id="1556696405">
      <w:bodyDiv w:val="1"/>
      <w:marLeft w:val="0"/>
      <w:marRight w:val="0"/>
      <w:marTop w:val="0"/>
      <w:marBottom w:val="0"/>
      <w:divBdr>
        <w:top w:val="none" w:sz="0" w:space="0" w:color="auto"/>
        <w:left w:val="none" w:sz="0" w:space="0" w:color="auto"/>
        <w:bottom w:val="none" w:sz="0" w:space="0" w:color="auto"/>
        <w:right w:val="none" w:sz="0" w:space="0" w:color="auto"/>
      </w:divBdr>
      <w:divsChild>
        <w:div w:id="622272707">
          <w:marLeft w:val="0"/>
          <w:marRight w:val="0"/>
          <w:marTop w:val="0"/>
          <w:marBottom w:val="0"/>
          <w:divBdr>
            <w:top w:val="none" w:sz="0" w:space="0" w:color="auto"/>
            <w:left w:val="none" w:sz="0" w:space="0" w:color="auto"/>
            <w:bottom w:val="none" w:sz="0" w:space="0" w:color="auto"/>
            <w:right w:val="none" w:sz="0" w:space="0" w:color="auto"/>
          </w:divBdr>
          <w:divsChild>
            <w:div w:id="551844483">
              <w:marLeft w:val="0"/>
              <w:marRight w:val="0"/>
              <w:marTop w:val="0"/>
              <w:marBottom w:val="0"/>
              <w:divBdr>
                <w:top w:val="none" w:sz="0" w:space="0" w:color="auto"/>
                <w:left w:val="none" w:sz="0" w:space="0" w:color="auto"/>
                <w:bottom w:val="none" w:sz="0" w:space="0" w:color="auto"/>
                <w:right w:val="none" w:sz="0" w:space="0" w:color="auto"/>
              </w:divBdr>
              <w:divsChild>
                <w:div w:id="1761482264">
                  <w:marLeft w:val="0"/>
                  <w:marRight w:val="0"/>
                  <w:marTop w:val="0"/>
                  <w:marBottom w:val="0"/>
                  <w:divBdr>
                    <w:top w:val="none" w:sz="0" w:space="0" w:color="auto"/>
                    <w:left w:val="none" w:sz="0" w:space="0" w:color="auto"/>
                    <w:bottom w:val="none" w:sz="0" w:space="0" w:color="auto"/>
                    <w:right w:val="none" w:sz="0" w:space="0" w:color="auto"/>
                  </w:divBdr>
                  <w:divsChild>
                    <w:div w:id="817066785">
                      <w:marLeft w:val="0"/>
                      <w:marRight w:val="0"/>
                      <w:marTop w:val="0"/>
                      <w:marBottom w:val="0"/>
                      <w:divBdr>
                        <w:top w:val="none" w:sz="0" w:space="0" w:color="auto"/>
                        <w:left w:val="none" w:sz="0" w:space="0" w:color="auto"/>
                        <w:bottom w:val="none" w:sz="0" w:space="0" w:color="auto"/>
                        <w:right w:val="none" w:sz="0" w:space="0" w:color="auto"/>
                      </w:divBdr>
                      <w:divsChild>
                        <w:div w:id="508637869">
                          <w:marLeft w:val="0"/>
                          <w:marRight w:val="0"/>
                          <w:marTop w:val="0"/>
                          <w:marBottom w:val="0"/>
                          <w:divBdr>
                            <w:top w:val="none" w:sz="0" w:space="0" w:color="auto"/>
                            <w:left w:val="none" w:sz="0" w:space="0" w:color="auto"/>
                            <w:bottom w:val="none" w:sz="0" w:space="0" w:color="auto"/>
                            <w:right w:val="none" w:sz="0" w:space="0" w:color="auto"/>
                          </w:divBdr>
                          <w:divsChild>
                            <w:div w:id="657853752">
                              <w:marLeft w:val="-15"/>
                              <w:marRight w:val="-15"/>
                              <w:marTop w:val="0"/>
                              <w:marBottom w:val="0"/>
                              <w:divBdr>
                                <w:top w:val="none" w:sz="0" w:space="0" w:color="auto"/>
                                <w:left w:val="none" w:sz="0" w:space="0" w:color="auto"/>
                                <w:bottom w:val="none" w:sz="0" w:space="0" w:color="auto"/>
                                <w:right w:val="none" w:sz="0" w:space="0" w:color="auto"/>
                              </w:divBdr>
                              <w:divsChild>
                                <w:div w:id="1882328676">
                                  <w:marLeft w:val="-15"/>
                                  <w:marRight w:val="-15"/>
                                  <w:marTop w:val="0"/>
                                  <w:marBottom w:val="0"/>
                                  <w:divBdr>
                                    <w:top w:val="none" w:sz="0" w:space="0" w:color="auto"/>
                                    <w:left w:val="none" w:sz="0" w:space="0" w:color="auto"/>
                                    <w:bottom w:val="none" w:sz="0" w:space="0" w:color="auto"/>
                                    <w:right w:val="none" w:sz="0" w:space="0" w:color="auto"/>
                                  </w:divBdr>
                                  <w:divsChild>
                                    <w:div w:id="966593550">
                                      <w:marLeft w:val="0"/>
                                      <w:marRight w:val="0"/>
                                      <w:marTop w:val="0"/>
                                      <w:marBottom w:val="0"/>
                                      <w:divBdr>
                                        <w:top w:val="none" w:sz="0" w:space="0" w:color="auto"/>
                                        <w:left w:val="none" w:sz="0" w:space="0" w:color="auto"/>
                                        <w:bottom w:val="none" w:sz="0" w:space="0" w:color="auto"/>
                                        <w:right w:val="none" w:sz="0" w:space="0" w:color="auto"/>
                                      </w:divBdr>
                                      <w:divsChild>
                                        <w:div w:id="1551258491">
                                          <w:marLeft w:val="0"/>
                                          <w:marRight w:val="0"/>
                                          <w:marTop w:val="0"/>
                                          <w:marBottom w:val="0"/>
                                          <w:divBdr>
                                            <w:top w:val="none" w:sz="0" w:space="0" w:color="auto"/>
                                            <w:left w:val="none" w:sz="0" w:space="0" w:color="auto"/>
                                            <w:bottom w:val="none" w:sz="0" w:space="0" w:color="auto"/>
                                            <w:right w:val="none" w:sz="0" w:space="0" w:color="auto"/>
                                          </w:divBdr>
                                          <w:divsChild>
                                            <w:div w:id="1036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391949">
      <w:bodyDiv w:val="1"/>
      <w:marLeft w:val="0"/>
      <w:marRight w:val="0"/>
      <w:marTop w:val="0"/>
      <w:marBottom w:val="0"/>
      <w:divBdr>
        <w:top w:val="none" w:sz="0" w:space="0" w:color="auto"/>
        <w:left w:val="none" w:sz="0" w:space="0" w:color="auto"/>
        <w:bottom w:val="none" w:sz="0" w:space="0" w:color="auto"/>
        <w:right w:val="none" w:sz="0" w:space="0" w:color="auto"/>
      </w:divBdr>
    </w:div>
    <w:div w:id="1905724378">
      <w:bodyDiv w:val="1"/>
      <w:marLeft w:val="0"/>
      <w:marRight w:val="0"/>
      <w:marTop w:val="0"/>
      <w:marBottom w:val="0"/>
      <w:divBdr>
        <w:top w:val="none" w:sz="0" w:space="0" w:color="auto"/>
        <w:left w:val="none" w:sz="0" w:space="0" w:color="auto"/>
        <w:bottom w:val="none" w:sz="0" w:space="0" w:color="auto"/>
        <w:right w:val="none" w:sz="0" w:space="0" w:color="auto"/>
      </w:divBdr>
    </w:div>
    <w:div w:id="206073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footer" Target="footer4.xml"/><Relationship Id="rId39"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chart" Target="charts/chart2.xml"/><Relationship Id="rId34" Type="http://schemas.openxmlformats.org/officeDocument/2006/relationships/header" Target="header9.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1.xm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image" Target="media/image3.emf"/><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wa.gov.au/organisation/department-of-the-premier-and-cabinet/coronavirus-covid-19-western-australian-government-response" TargetMode="External"/><Relationship Id="rId28" Type="http://schemas.openxmlformats.org/officeDocument/2006/relationships/header" Target="header6.xml"/><Relationship Id="rId36"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chart" Target="charts/chart3.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s://www.rba.gov.au/speeches/2020/sp-gov-2020-02-07.html" TargetMode="External"/><Relationship Id="rId1" Type="http://schemas.openxmlformats.org/officeDocument/2006/relationships/hyperlink" Target="http://www.rba.gov.au/speeches/2020/sp-dg-2020-03-11.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99068995349369E-2"/>
          <c:y val="5.7971000565535578E-2"/>
          <c:w val="0.81073799684688053"/>
          <c:h val="0.69626775506609384"/>
        </c:manualLayout>
      </c:layout>
      <c:barChart>
        <c:barDir val="col"/>
        <c:grouping val="clustered"/>
        <c:varyColors val="0"/>
        <c:ser>
          <c:idx val="0"/>
          <c:order val="0"/>
          <c:tx>
            <c:strRef>
              <c:f>Sheet1!$B$3</c:f>
              <c:strCache>
                <c:ptCount val="1"/>
                <c:pt idx="0">
                  <c:v>Number of agreements registered</c:v>
                </c:pt>
              </c:strCache>
            </c:strRef>
          </c:tx>
          <c:spPr>
            <a:solidFill>
              <a:schemeClr val="accent1">
                <a:lumMod val="75000"/>
              </a:schemeClr>
            </a:solidFill>
            <a:ln>
              <a:solidFill>
                <a:schemeClr val="tx1"/>
              </a:solidFill>
            </a:ln>
            <a:effectLst>
              <a:innerShdw blurRad="63500" dist="50800">
                <a:prstClr val="black">
                  <a:alpha val="50000"/>
                </a:prstClr>
              </a:innerShdw>
            </a:effectLst>
          </c:spPr>
          <c:invertIfNegative val="0"/>
          <c:cat>
            <c:numRef>
              <c:f>Sheet1!$C$2:$O$2</c:f>
              <c:numCache>
                <c:formatCode>mmm\-yy</c:formatCode>
                <c:ptCount val="13"/>
                <c:pt idx="0">
                  <c:v>42614</c:v>
                </c:pt>
                <c:pt idx="1">
                  <c:v>42705</c:v>
                </c:pt>
                <c:pt idx="2">
                  <c:v>42795</c:v>
                </c:pt>
                <c:pt idx="3">
                  <c:v>42887</c:v>
                </c:pt>
                <c:pt idx="4">
                  <c:v>42979</c:v>
                </c:pt>
                <c:pt idx="5">
                  <c:v>43070</c:v>
                </c:pt>
                <c:pt idx="6">
                  <c:v>43160</c:v>
                </c:pt>
                <c:pt idx="7">
                  <c:v>43252</c:v>
                </c:pt>
                <c:pt idx="8">
                  <c:v>43344</c:v>
                </c:pt>
                <c:pt idx="9">
                  <c:v>43435</c:v>
                </c:pt>
                <c:pt idx="10">
                  <c:v>43525</c:v>
                </c:pt>
                <c:pt idx="11">
                  <c:v>43617</c:v>
                </c:pt>
                <c:pt idx="12">
                  <c:v>43709</c:v>
                </c:pt>
              </c:numCache>
            </c:numRef>
          </c:cat>
          <c:val>
            <c:numRef>
              <c:f>Sheet1!$C$3:$O$3</c:f>
              <c:numCache>
                <c:formatCode>#,##0</c:formatCode>
                <c:ptCount val="13"/>
                <c:pt idx="0">
                  <c:v>14224</c:v>
                </c:pt>
                <c:pt idx="1">
                  <c:v>14665</c:v>
                </c:pt>
                <c:pt idx="2">
                  <c:v>14560</c:v>
                </c:pt>
                <c:pt idx="3">
                  <c:v>14490</c:v>
                </c:pt>
                <c:pt idx="4">
                  <c:v>12910</c:v>
                </c:pt>
                <c:pt idx="5">
                  <c:v>12984</c:v>
                </c:pt>
                <c:pt idx="6">
                  <c:v>12732</c:v>
                </c:pt>
                <c:pt idx="7">
                  <c:v>12832</c:v>
                </c:pt>
                <c:pt idx="8">
                  <c:v>10996</c:v>
                </c:pt>
                <c:pt idx="9">
                  <c:v>10904</c:v>
                </c:pt>
                <c:pt idx="10">
                  <c:v>10575</c:v>
                </c:pt>
                <c:pt idx="11">
                  <c:v>11338</c:v>
                </c:pt>
                <c:pt idx="12">
                  <c:v>10877</c:v>
                </c:pt>
              </c:numCache>
            </c:numRef>
          </c:val>
          <c:extLst>
            <c:ext xmlns:c16="http://schemas.microsoft.com/office/drawing/2014/chart" uri="{C3380CC4-5D6E-409C-BE32-E72D297353CC}">
              <c16:uniqueId val="{00000000-4F28-404D-90D7-6CE581CEAB0F}"/>
            </c:ext>
          </c:extLst>
        </c:ser>
        <c:dLbls>
          <c:showLegendKey val="0"/>
          <c:showVal val="0"/>
          <c:showCatName val="0"/>
          <c:showSerName val="0"/>
          <c:showPercent val="0"/>
          <c:showBubbleSize val="0"/>
        </c:dLbls>
        <c:gapWidth val="0"/>
        <c:axId val="547473384"/>
        <c:axId val="547475680"/>
      </c:barChart>
      <c:lineChart>
        <c:grouping val="standard"/>
        <c:varyColors val="0"/>
        <c:ser>
          <c:idx val="2"/>
          <c:order val="1"/>
          <c:tx>
            <c:strRef>
              <c:f>Sheet1!$B$9</c:f>
              <c:strCache>
                <c:ptCount val="1"/>
                <c:pt idx="0">
                  <c:v>Number of employees covered by all current agreements</c:v>
                </c:pt>
              </c:strCache>
            </c:strRef>
          </c:tx>
          <c:spPr>
            <a:ln w="28575" cap="rnd">
              <a:solidFill>
                <a:schemeClr val="accent3"/>
              </a:solidFill>
              <a:round/>
            </a:ln>
            <a:effectLst/>
          </c:spPr>
          <c:marker>
            <c:symbol val="none"/>
          </c:marker>
          <c:cat>
            <c:numRef>
              <c:f>Sheet1!$C$2:$O$2</c:f>
              <c:numCache>
                <c:formatCode>mmm\-yy</c:formatCode>
                <c:ptCount val="13"/>
                <c:pt idx="0">
                  <c:v>42614</c:v>
                </c:pt>
                <c:pt idx="1">
                  <c:v>42705</c:v>
                </c:pt>
                <c:pt idx="2">
                  <c:v>42795</c:v>
                </c:pt>
                <c:pt idx="3">
                  <c:v>42887</c:v>
                </c:pt>
                <c:pt idx="4">
                  <c:v>42979</c:v>
                </c:pt>
                <c:pt idx="5">
                  <c:v>43070</c:v>
                </c:pt>
                <c:pt idx="6">
                  <c:v>43160</c:v>
                </c:pt>
                <c:pt idx="7">
                  <c:v>43252</c:v>
                </c:pt>
                <c:pt idx="8">
                  <c:v>43344</c:v>
                </c:pt>
                <c:pt idx="9">
                  <c:v>43435</c:v>
                </c:pt>
                <c:pt idx="10">
                  <c:v>43525</c:v>
                </c:pt>
                <c:pt idx="11">
                  <c:v>43617</c:v>
                </c:pt>
                <c:pt idx="12">
                  <c:v>43709</c:v>
                </c:pt>
              </c:numCache>
            </c:numRef>
          </c:cat>
          <c:val>
            <c:numRef>
              <c:f>Sheet1!$C$9:$O$9</c:f>
              <c:numCache>
                <c:formatCode>#,##0</c:formatCode>
                <c:ptCount val="13"/>
                <c:pt idx="0">
                  <c:v>1990100</c:v>
                </c:pt>
                <c:pt idx="1">
                  <c:v>2062000</c:v>
                </c:pt>
                <c:pt idx="2">
                  <c:v>1997100</c:v>
                </c:pt>
                <c:pt idx="3">
                  <c:v>1881500</c:v>
                </c:pt>
                <c:pt idx="4">
                  <c:v>1761300</c:v>
                </c:pt>
                <c:pt idx="5">
                  <c:v>1813500</c:v>
                </c:pt>
                <c:pt idx="6">
                  <c:v>1784900</c:v>
                </c:pt>
                <c:pt idx="7">
                  <c:v>1963000</c:v>
                </c:pt>
                <c:pt idx="8">
                  <c:v>1898300</c:v>
                </c:pt>
                <c:pt idx="9">
                  <c:v>1883600</c:v>
                </c:pt>
                <c:pt idx="10">
                  <c:v>2086500</c:v>
                </c:pt>
                <c:pt idx="11">
                  <c:v>2189700</c:v>
                </c:pt>
                <c:pt idx="12">
                  <c:v>2160400</c:v>
                </c:pt>
              </c:numCache>
            </c:numRef>
          </c:val>
          <c:smooth val="0"/>
          <c:extLst>
            <c:ext xmlns:c16="http://schemas.microsoft.com/office/drawing/2014/chart" uri="{C3380CC4-5D6E-409C-BE32-E72D297353CC}">
              <c16:uniqueId val="{00000001-4F28-404D-90D7-6CE581CEAB0F}"/>
            </c:ext>
          </c:extLst>
        </c:ser>
        <c:dLbls>
          <c:showLegendKey val="0"/>
          <c:showVal val="0"/>
          <c:showCatName val="0"/>
          <c:showSerName val="0"/>
          <c:showPercent val="0"/>
          <c:showBubbleSize val="0"/>
        </c:dLbls>
        <c:marker val="1"/>
        <c:smooth val="0"/>
        <c:axId val="547475352"/>
        <c:axId val="547475024"/>
      </c:lineChart>
      <c:dateAx>
        <c:axId val="54747338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547475680"/>
        <c:crosses val="autoZero"/>
        <c:auto val="1"/>
        <c:lblOffset val="100"/>
        <c:baseTimeUnit val="months"/>
        <c:majorUnit val="3"/>
        <c:majorTimeUnit val="months"/>
      </c:dateAx>
      <c:valAx>
        <c:axId val="547475680"/>
        <c:scaling>
          <c:orientation val="minMax"/>
        </c:scaling>
        <c:delete val="0"/>
        <c:axPos val="l"/>
        <c:majorGridlines>
          <c:spPr>
            <a:ln w="12700" cap="flat" cmpd="sng" algn="ctr">
              <a:solidFill>
                <a:schemeClr val="tx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547473384"/>
        <c:crosses val="autoZero"/>
        <c:crossBetween val="between"/>
      </c:valAx>
      <c:valAx>
        <c:axId val="547475024"/>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547475352"/>
        <c:crosses val="max"/>
        <c:crossBetween val="between"/>
      </c:valAx>
      <c:dateAx>
        <c:axId val="547475352"/>
        <c:scaling>
          <c:orientation val="minMax"/>
        </c:scaling>
        <c:delete val="1"/>
        <c:axPos val="b"/>
        <c:numFmt formatCode="mmm\-yy" sourceLinked="1"/>
        <c:majorTickMark val="out"/>
        <c:minorTickMark val="none"/>
        <c:tickLblPos val="nextTo"/>
        <c:crossAx val="547475024"/>
        <c:crosses val="autoZero"/>
        <c:auto val="1"/>
        <c:lblOffset val="100"/>
        <c:baseTimeUnit val="months"/>
      </c:dateAx>
      <c:spPr>
        <a:noFill/>
        <a:ln>
          <a:solidFill>
            <a:schemeClr val="tx1"/>
          </a:solidFill>
        </a:ln>
        <a:effectLst/>
      </c:spPr>
    </c:plotArea>
    <c:legend>
      <c:legendPos val="b"/>
      <c:layout>
        <c:manualLayout>
          <c:xMode val="edge"/>
          <c:yMode val="edge"/>
          <c:x val="2.0935659673884874E-2"/>
          <c:y val="0.91189890802408213"/>
          <c:w val="0.94468620312589202"/>
          <c:h val="5.8665346746117231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5"/>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33A8-4496-BBA7-B97409FECF1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3A8-4496-BBA7-B97409FECF1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33A8-4496-BBA7-B97409FECF1D}"/>
              </c:ext>
            </c:extLst>
          </c:dPt>
          <c:dLbls>
            <c:dLbl>
              <c:idx val="0"/>
              <c:layout>
                <c:manualLayout>
                  <c:x val="-0.10283353770738733"/>
                  <c:y val="0.14215534829090157"/>
                </c:manualLayout>
              </c:layout>
              <c:tx>
                <c:rich>
                  <a:bodyPr/>
                  <a:lstStyle/>
                  <a:p>
                    <a:fld id="{4A28E850-7A0B-4FB0-8639-34A50E198F8C}" type="CELLRANGE">
                      <a:rPr lang="en-US"/>
                      <a:pPr/>
                      <a:t>[CELLRANGE]</a:t>
                    </a:fld>
                    <a:endParaRPr lang="en-AU"/>
                  </a:p>
                </c:rich>
              </c:tx>
              <c:dLblPos val="bestFit"/>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33A8-4496-BBA7-B97409FECF1D}"/>
                </c:ext>
              </c:extLst>
            </c:dLbl>
            <c:dLbl>
              <c:idx val="1"/>
              <c:tx>
                <c:rich>
                  <a:bodyPr/>
                  <a:lstStyle/>
                  <a:p>
                    <a:fld id="{B058814B-F385-4AE8-A3BF-AE9D6DF0F502}"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33A8-4496-BBA7-B97409FECF1D}"/>
                </c:ext>
              </c:extLst>
            </c:dLbl>
            <c:dLbl>
              <c:idx val="2"/>
              <c:tx>
                <c:rich>
                  <a:bodyPr/>
                  <a:lstStyle/>
                  <a:p>
                    <a:fld id="{123D2CDF-4286-49AC-AD12-F11ED304892D}"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33A8-4496-BBA7-B97409FECF1D}"/>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Sheet2!$B$3:$D$3</c:f>
              <c:strCache>
                <c:ptCount val="3"/>
                <c:pt idx="0">
                  <c:v>Award only</c:v>
                </c:pt>
                <c:pt idx="1">
                  <c:v>Collective agreement</c:v>
                </c:pt>
                <c:pt idx="2">
                  <c:v>Individual arrangement</c:v>
                </c:pt>
              </c:strCache>
            </c:strRef>
          </c:cat>
          <c:val>
            <c:numRef>
              <c:f>Sheet2!$B$4:$D$4</c:f>
              <c:numCache>
                <c:formatCode>0.0%</c:formatCode>
                <c:ptCount val="3"/>
                <c:pt idx="0">
                  <c:v>0.15</c:v>
                </c:pt>
                <c:pt idx="1">
                  <c:v>0.437</c:v>
                </c:pt>
                <c:pt idx="2">
                  <c:v>0.41299999999999998</c:v>
                </c:pt>
              </c:numCache>
            </c:numRef>
          </c:val>
          <c:extLst>
            <c:ext xmlns:c15="http://schemas.microsoft.com/office/drawing/2012/chart" uri="{02D57815-91ED-43cb-92C2-25804820EDAC}">
              <c15:datalabelsRange>
                <c15:f>Sheet2!$B$4:$D$4</c15:f>
                <c15:dlblRangeCache>
                  <c:ptCount val="3"/>
                  <c:pt idx="0">
                    <c:v>15.0%</c:v>
                  </c:pt>
                  <c:pt idx="1">
                    <c:v>43.7%</c:v>
                  </c:pt>
                  <c:pt idx="2">
                    <c:v>41.3%</c:v>
                  </c:pt>
                </c15:dlblRangeCache>
              </c15:datalabelsRange>
            </c:ext>
            <c:ext xmlns:c16="http://schemas.microsoft.com/office/drawing/2014/chart" uri="{C3380CC4-5D6E-409C-BE32-E72D297353CC}">
              <c16:uniqueId val="{00000006-33A8-4496-BBA7-B97409FECF1D}"/>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25000"/>
          <a:lumOff val="75000"/>
        </a:schemeClr>
      </a:solidFill>
      <a:round/>
    </a:ln>
    <a:effectLst>
      <a:outerShdw blurRad="50800" dist="50800" dir="5400000" algn="ctr" rotWithShape="0">
        <a:srgbClr val="000000">
          <a:alpha val="43137"/>
        </a:srgbClr>
      </a:outerShdw>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5"/>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29C-43BA-A125-2456914CC6C0}"/>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29C-43BA-A125-2456914CC6C0}"/>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29C-43BA-A125-2456914CC6C0}"/>
              </c:ext>
            </c:extLst>
          </c:dPt>
          <c:dLbls>
            <c:dLbl>
              <c:idx val="0"/>
              <c:layout/>
              <c:tx>
                <c:rich>
                  <a:bodyPr/>
                  <a:lstStyle/>
                  <a:p>
                    <a:fld id="{A35A7672-26C9-4E31-AE69-6273462F2B50}" type="CELLRANGE">
                      <a:rPr lang="en-US"/>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B29C-43BA-A125-2456914CC6C0}"/>
                </c:ext>
              </c:extLst>
            </c:dLbl>
            <c:dLbl>
              <c:idx val="1"/>
              <c:tx>
                <c:rich>
                  <a:bodyPr/>
                  <a:lstStyle/>
                  <a:p>
                    <a:fld id="{AC0614BF-0AE4-4E2D-96D1-F153260E35B1}"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B29C-43BA-A125-2456914CC6C0}"/>
                </c:ext>
              </c:extLst>
            </c:dLbl>
            <c:dLbl>
              <c:idx val="2"/>
              <c:tx>
                <c:rich>
                  <a:bodyPr/>
                  <a:lstStyle/>
                  <a:p>
                    <a:fld id="{754FA266-3F8B-4C2B-94AF-6E0667C74C90}"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B29C-43BA-A125-2456914CC6C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Sheet2!$F$3:$H$3</c:f>
              <c:strCache>
                <c:ptCount val="3"/>
                <c:pt idx="0">
                  <c:v>Award only</c:v>
                </c:pt>
                <c:pt idx="1">
                  <c:v>Collective agreement</c:v>
                </c:pt>
                <c:pt idx="2">
                  <c:v>Individual arrangement</c:v>
                </c:pt>
              </c:strCache>
            </c:strRef>
          </c:cat>
          <c:val>
            <c:numRef>
              <c:f>Sheet2!$F$4:$H$4</c:f>
              <c:numCache>
                <c:formatCode>0.0%</c:formatCode>
                <c:ptCount val="3"/>
                <c:pt idx="0">
                  <c:v>0.22500000000000001</c:v>
                </c:pt>
                <c:pt idx="1">
                  <c:v>0.4</c:v>
                </c:pt>
                <c:pt idx="2">
                  <c:v>0.375</c:v>
                </c:pt>
              </c:numCache>
            </c:numRef>
          </c:val>
          <c:extLst>
            <c:ext xmlns:c15="http://schemas.microsoft.com/office/drawing/2012/chart" uri="{02D57815-91ED-43cb-92C2-25804820EDAC}">
              <c15:datalabelsRange>
                <c15:f>Sheet2!$F$4:$H$4</c15:f>
                <c15:dlblRangeCache>
                  <c:ptCount val="3"/>
                  <c:pt idx="0">
                    <c:v>22.5%</c:v>
                  </c:pt>
                  <c:pt idx="1">
                    <c:v>40.0%</c:v>
                  </c:pt>
                  <c:pt idx="2">
                    <c:v>37.5%</c:v>
                  </c:pt>
                </c15:dlblRangeCache>
              </c15:datalabelsRange>
            </c:ext>
            <c:ext xmlns:c16="http://schemas.microsoft.com/office/drawing/2014/chart" uri="{C3380CC4-5D6E-409C-BE32-E72D297353CC}">
              <c16:uniqueId val="{00000006-B29C-43BA-A125-2456914CC6C0}"/>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25000"/>
          <a:lumOff val="75000"/>
        </a:schemeClr>
      </a:solidFill>
      <a:round/>
    </a:ln>
    <a:effectLst>
      <a:outerShdw blurRad="50800" dist="50800" dir="5400000" algn="ctr" rotWithShape="0">
        <a:srgbClr val="000000">
          <a:alpha val="43137"/>
        </a:srgbClr>
      </a:outerShdw>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65F1F92071475276E05315230A0A9CBF" version="1.0.0">
  <systemFields>
    <field name="Objective-Id">
      <value order="0">A30874097</value>
    </field>
    <field name="Objective-Title">
      <value order="0">WA Government Submission to the 2020 Annual Wage Review</value>
    </field>
    <field name="Objective-Description">
      <value order="0"/>
    </field>
    <field name="Objective-CreationStamp">
      <value order="0">2020-02-07T09:53:22Z</value>
    </field>
    <field name="Objective-IsApproved">
      <value order="0">false</value>
    </field>
    <field name="Objective-IsPublished">
      <value order="0">false</value>
    </field>
    <field name="Objective-DatePublished">
      <value order="0"/>
    </field>
    <field name="Objective-ModificationStamp">
      <value order="0">2020-03-20T04:24:57Z</value>
    </field>
    <field name="Objective-Owner">
      <value order="0">ENTREKIN, Brendon</value>
    </field>
    <field name="Objective-Path">
      <value order="0">Global Folder:'DMIRS:Safety Regulation:Private Sector Labour Relations:Policy and Legal Directorate:Remuneration Management:Cases:Wage Case 2020:5. Annual Wage Review</value>
    </field>
    <field name="Objective-Parent">
      <value order="0">5. Annual Wage Review</value>
    </field>
    <field name="Objective-State">
      <value order="0">Being Edited</value>
    </field>
    <field name="Objective-VersionId">
      <value order="0">vA33689980</value>
    </field>
    <field name="Objective-Version">
      <value order="0">15.1</value>
    </field>
    <field name="Objective-VersionNumber">
      <value order="0">17</value>
    </field>
    <field name="Objective-VersionComment">
      <value order="0"/>
    </field>
    <field name="Objective-FileNumber">
      <value order="0">qA1138497</value>
    </field>
    <field name="Objective-Classification">
      <value order="0"/>
    </field>
    <field name="Objective-Caveats">
      <value order="0"/>
    </field>
  </systemFields>
  <catalogues>
    <catalogue name="Document Type Catalogue" type="type" ori="id:cA14">
      <field name="Objective-Document Types">
        <value order="0">Other</value>
      </field>
      <field name="Objective-External Reference">
        <value order="0"/>
      </field>
      <field name="Objective-Author">
        <value order="0">uA892</value>
      </field>
      <field name="Objective-Date of Document">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
    <OurDocsDocId xmlns="dce3ed02-b0cd-470d-9119-e5f1a2533a21"/>
    <OurDocsVersionCreatedBy xmlns="dce3ed02-b0cd-470d-9119-e5f1a2533a21">MIISBSP</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2015-05-03T16:00:00+00:00</OurDocsDocumentDate>
    <OurDocsVersionCreatedAt xmlns="dce3ed02-b0cd-470d-9119-e5f1a2533a21">2015-05-04T07:55:02+00:00</OurDocsVersionCreatedAt>
    <OurDocsReleaseClassification xmlns="dce3ed02-b0cd-470d-9119-e5f1a2533a21">Departmental Use Only</OurDocsReleaseClassification>
    <OurDocsTitle xmlns="dce3ed02-b0cd-470d-9119-e5f1a2533a21">Normal document template</OurDocsTitle>
    <OurDocsLocation xmlns="dce3ed02-b0cd-470d-9119-e5f1a2533a21">Perth</OurDocsLocation>
    <OurDocsDescription xmlns="dce3ed02-b0cd-470d-9119-e5f1a2533a21" xsi:nil="true"/>
    <OurDocsVersionReason xmlns="dce3ed02-b0cd-470d-9119-e5f1a2533a21" xsi:nil="true"/>
    <OurDocsAuthor xmlns="dce3ed02-b0cd-470d-9119-e5f1a2533a21">Sam Prosser</OurDocsAuthor>
    <OurDocsLockedBy xmlns="dce3ed02-b0cd-470d-9119-e5f1a2533a21" xsi:nil="true"/>
    <OurDocsLockedOn xmlns="dce3ed02-b0cd-470d-9119-e5f1a2533a21" xsi:nil="true"/>
    <OurDocsVersionNumber xmlns="dce3ed02-b0cd-470d-9119-e5f1a2533a21"/>
    <OurDocsDocumentSource xmlns="dce3ed02-b0cd-470d-9119-e5f1a2533a21">Internal</OurDocsDocumentSource>
  </documentManagement>
</p:properti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E898D81F2D0BC40B261BF61BF074CB8" ma:contentTypeVersion="52" ma:contentTypeDescription="Create a new document." ma:contentTypeScope="" ma:versionID="d9be4bfb861e23d3fc969b4cd1cad77b">
  <xsd:schema xmlns:xsd="http://www.w3.org/2001/XMLSchema" xmlns:xs="http://www.w3.org/2001/XMLSchema" xmlns:p="http://schemas.microsoft.com/office/2006/metadata/properties" xmlns:ns2="dce3ed02-b0cd-470d-9119-e5f1a2533a21" targetNamespace="http://schemas.microsoft.com/office/2006/metadata/properties" ma:root="true" ma:fieldsID="d6fc7f555b4b50738d5ce00429abb5da"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7aadd75-fb41-49d7-866d-414b51aa1b7e" ContentTypeId="0x0101000AC6246A9CD2FC45B52DC6FEC0F0AAAA"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2.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3.xml><?xml version="1.0" encoding="utf-8"?>
<ds:datastoreItem xmlns:ds="http://schemas.openxmlformats.org/officeDocument/2006/customXml" ds:itemID="{05D0ADC5-CA70-492B-ADE4-CBBC617A2699}">
  <ds:schemaRefs>
    <ds:schemaRef ds:uri="http://schemas.microsoft.com/office/infopath/2007/PartnerControls"/>
    <ds:schemaRef ds:uri="http://purl.org/dc/elements/1.1/"/>
    <ds:schemaRef ds:uri="http://schemas.microsoft.com/office/2006/metadata/properties"/>
    <ds:schemaRef ds:uri="http://purl.org/dc/terms/"/>
    <ds:schemaRef ds:uri="dce3ed02-b0cd-470d-9119-e5f1a2533a2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C1DC7A7-3E58-4F86-9608-FA39CF04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6.xml><?xml version="1.0" encoding="utf-8"?>
<ds:datastoreItem xmlns:ds="http://schemas.openxmlformats.org/officeDocument/2006/customXml" ds:itemID="{6FFBDF1B-953F-44A6-A434-354908C4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AF7F982F</Template>
  <TotalTime>1</TotalTime>
  <Pages>20</Pages>
  <Words>6283</Words>
  <Characters>33803</Characters>
  <Application>Microsoft Office Word</Application>
  <DocSecurity>4</DocSecurity>
  <Lines>804</Lines>
  <Paragraphs>354</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39732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ENTREKIN, Brendon</dc:creator>
  <cp:keywords/>
  <dc:description/>
  <cp:lastModifiedBy>ENTREKIN, Brendon</cp:lastModifiedBy>
  <cp:revision>2</cp:revision>
  <cp:lastPrinted>2020-03-20T08:46:00Z</cp:lastPrinted>
  <dcterms:created xsi:type="dcterms:W3CDTF">2020-03-20T09:24:00Z</dcterms:created>
  <dcterms:modified xsi:type="dcterms:W3CDTF">2020-03-20T09:24:00Z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A30874097</vt:lpwstr>
  </property>
  <property fmtid="{D5CDD505-2E9C-101B-9397-08002B2CF9AE}" pid="4" name="Objective-Title">
    <vt:lpwstr>WA Government Submission to the 2020 Annual Wage Review</vt:lpwstr>
  </property>
  <property fmtid="{D5CDD505-2E9C-101B-9397-08002B2CF9AE}" pid="5" name="Objective-Description">
    <vt:lpwstr/>
  </property>
  <property fmtid="{D5CDD505-2E9C-101B-9397-08002B2CF9AE}" pid="6" name="Objective-CreationStamp">
    <vt:filetime>2020-02-07T09:53:40Z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2020-03-20T08:40:56Z</vt:filetime>
  </property>
  <property fmtid="{D5CDD505-2E9C-101B-9397-08002B2CF9AE}" pid="10" name="Objective-ModificationStamp">
    <vt:filetime>2020-03-20T08:40:56Z</vt:filetime>
  </property>
  <property fmtid="{D5CDD505-2E9C-101B-9397-08002B2CF9AE}" pid="11" name="Objective-Owner">
    <vt:lpwstr>ENTREKIN, Brendon</vt:lpwstr>
  </property>
  <property fmtid="{D5CDD505-2E9C-101B-9397-08002B2CF9AE}" pid="12" name="Objective-Path">
    <vt:lpwstr>Global Folder:'DMIRS:Safety Regulation:Private Sector Labour Relations:Policy and Legal Directorate:Remuneration Management:Cases:Wage Case 2020:5. Annual Wage Review:</vt:lpwstr>
  </property>
  <property fmtid="{D5CDD505-2E9C-101B-9397-08002B2CF9AE}" pid="13" name="Objective-Parent">
    <vt:lpwstr>5. Annual Wage Review</vt:lpwstr>
  </property>
  <property fmtid="{D5CDD505-2E9C-101B-9397-08002B2CF9AE}" pid="14" name="Objective-State">
    <vt:lpwstr>Published</vt:lpwstr>
  </property>
  <property fmtid="{D5CDD505-2E9C-101B-9397-08002B2CF9AE}" pid="15" name="Objective-VersionId">
    <vt:lpwstr>vA33689980</vt:lpwstr>
  </property>
  <property fmtid="{D5CDD505-2E9C-101B-9397-08002B2CF9AE}" pid="16" name="Objective-Version">
    <vt:lpwstr>16.0</vt:lpwstr>
  </property>
  <property fmtid="{D5CDD505-2E9C-101B-9397-08002B2CF9AE}" pid="17" name="Objective-VersionNumber">
    <vt:r8>17</vt:r8>
  </property>
  <property fmtid="{D5CDD505-2E9C-101B-9397-08002B2CF9AE}" pid="18" name="Objective-VersionComment">
    <vt:lpwstr/>
  </property>
  <property fmtid="{D5CDD505-2E9C-101B-9397-08002B2CF9AE}" pid="19" name="Objective-FileNumber">
    <vt:lpwstr>LR0146/2019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s">
    <vt:lpwstr>Other</vt:lpwstr>
  </property>
  <property fmtid="{D5CDD505-2E9C-101B-9397-08002B2CF9AE}" pid="23" name="Objective-External Reference">
    <vt:lpwstr/>
  </property>
  <property fmtid="{D5CDD505-2E9C-101B-9397-08002B2CF9AE}" pid="24" name="Objective-Author">
    <vt:lpwstr>uA892</vt:lpwstr>
  </property>
  <property fmtid="{D5CDD505-2E9C-101B-9397-08002B2CF9AE}" pid="25" name="Objective-Date of Document">
    <vt:lpwstr/>
  </property>
  <property fmtid="{D5CDD505-2E9C-101B-9397-08002B2CF9AE}" pid="26" name="Objective-Comment">
    <vt:lpwstr/>
  </property>
  <property fmtid="{D5CDD505-2E9C-101B-9397-08002B2CF9AE}" pid="27" name="Objective-Document Types [system]">
    <vt:lpwstr>Other</vt:lpwstr>
  </property>
  <property fmtid="{D5CDD505-2E9C-101B-9397-08002B2CF9AE}" pid="28" name="Objective-Author [system]">
    <vt:lpwstr>ENTREKIN, Brendon</vt:lpwstr>
  </property>
  <property fmtid="{D5CDD505-2E9C-101B-9397-08002B2CF9AE}" pid="29" name="Objective-Date of Document [system]">
    <vt:lpwstr/>
  </property>
  <property fmtid="{D5CDD505-2E9C-101B-9397-08002B2CF9AE}" pid="30" name="Objective-External Reference [system]">
    <vt:lpwstr/>
  </property>
</Properties>
</file>