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FA08" w14:textId="77777777" w:rsidR="00064240" w:rsidRPr="00A956DE" w:rsidRDefault="00064240" w:rsidP="00064240">
      <w:pPr>
        <w:jc w:val="center"/>
        <w:rPr>
          <w:rFonts w:ascii="Helvetica" w:hAnsi="Helvetica" w:cs="Helvetica"/>
          <w:b/>
          <w:sz w:val="32"/>
          <w:szCs w:val="32"/>
          <w:u w:val="single"/>
        </w:rPr>
      </w:pPr>
      <w:bookmarkStart w:id="0" w:name="_GoBack"/>
      <w:bookmarkEnd w:id="0"/>
      <w:r w:rsidRPr="00A956DE">
        <w:rPr>
          <w:rFonts w:ascii="Helvetica" w:hAnsi="Helvetica" w:cs="Helvetica"/>
          <w:b/>
          <w:sz w:val="32"/>
          <w:szCs w:val="32"/>
          <w:u w:val="single"/>
        </w:rPr>
        <w:t>2020 ANNUAL WAGE REVIEW</w:t>
      </w:r>
    </w:p>
    <w:p w14:paraId="2EFCD35C" w14:textId="77777777" w:rsidR="00064240" w:rsidRDefault="00064240" w:rsidP="00064240">
      <w:pPr>
        <w:jc w:val="center"/>
        <w:rPr>
          <w:rFonts w:ascii="Helvetica" w:hAnsi="Helvetica" w:cs="Helvetica"/>
          <w:b/>
          <w:sz w:val="22"/>
          <w:szCs w:val="22"/>
          <w:u w:val="single"/>
        </w:rPr>
      </w:pPr>
    </w:p>
    <w:p w14:paraId="69FECB6B" w14:textId="75F258AC" w:rsidR="00973A82" w:rsidRDefault="00064240" w:rsidP="00064240">
      <w:pPr>
        <w:jc w:val="center"/>
        <w:rPr>
          <w:rFonts w:ascii="Helvetica" w:hAnsi="Helvetica" w:cs="Helvetica"/>
          <w:b/>
          <w:sz w:val="28"/>
          <w:szCs w:val="28"/>
          <w:u w:val="single"/>
        </w:rPr>
      </w:pPr>
      <w:r w:rsidRPr="00A956DE">
        <w:rPr>
          <w:rFonts w:ascii="Helvetica" w:hAnsi="Helvetica" w:cs="Helvetica"/>
          <w:b/>
          <w:sz w:val="28"/>
          <w:szCs w:val="28"/>
          <w:u w:val="single"/>
        </w:rPr>
        <w:t xml:space="preserve">SUBMISSION BY THE </w:t>
      </w:r>
      <w:r w:rsidR="00973A82">
        <w:rPr>
          <w:rFonts w:ascii="Helvetica" w:hAnsi="Helvetica" w:cs="Helvetica"/>
          <w:b/>
          <w:sz w:val="28"/>
          <w:szCs w:val="28"/>
          <w:u w:val="single"/>
        </w:rPr>
        <w:t>‘</w:t>
      </w:r>
      <w:r w:rsidRPr="00A956DE">
        <w:rPr>
          <w:rFonts w:ascii="Helvetica" w:hAnsi="Helvetica" w:cs="Helvetica"/>
          <w:b/>
          <w:sz w:val="28"/>
          <w:szCs w:val="28"/>
          <w:u w:val="single"/>
        </w:rPr>
        <w:t xml:space="preserve">SHOP DISTRIBUTIVE AND ALLIED </w:t>
      </w:r>
    </w:p>
    <w:p w14:paraId="0CAAC06A" w14:textId="77777777" w:rsidR="00973A82" w:rsidRDefault="00973A82" w:rsidP="00064240">
      <w:pPr>
        <w:jc w:val="center"/>
        <w:rPr>
          <w:rFonts w:ascii="Helvetica" w:hAnsi="Helvetica" w:cs="Helvetica"/>
          <w:b/>
          <w:sz w:val="28"/>
          <w:szCs w:val="28"/>
          <w:u w:val="single"/>
        </w:rPr>
      </w:pPr>
    </w:p>
    <w:p w14:paraId="65402E82" w14:textId="2579C133" w:rsidR="00064240" w:rsidRPr="00A956DE" w:rsidRDefault="00064240" w:rsidP="00973A82">
      <w:pPr>
        <w:jc w:val="center"/>
        <w:rPr>
          <w:rFonts w:ascii="Helvetica" w:hAnsi="Helvetica" w:cs="Helvetica"/>
          <w:b/>
          <w:sz w:val="28"/>
          <w:szCs w:val="28"/>
          <w:u w:val="single"/>
        </w:rPr>
      </w:pPr>
      <w:r w:rsidRPr="00A956DE">
        <w:rPr>
          <w:rFonts w:ascii="Helvetica" w:hAnsi="Helvetica" w:cs="Helvetica"/>
          <w:b/>
          <w:sz w:val="28"/>
          <w:szCs w:val="28"/>
          <w:u w:val="single"/>
        </w:rPr>
        <w:t>EMPLOYEES’</w:t>
      </w:r>
      <w:r w:rsidR="00973A82">
        <w:rPr>
          <w:rFonts w:ascii="Helvetica" w:hAnsi="Helvetica" w:cs="Helvetica"/>
          <w:b/>
          <w:sz w:val="28"/>
          <w:szCs w:val="28"/>
          <w:u w:val="single"/>
        </w:rPr>
        <w:t xml:space="preserve"> </w:t>
      </w:r>
      <w:r w:rsidRPr="00A956DE">
        <w:rPr>
          <w:rFonts w:ascii="Helvetica" w:hAnsi="Helvetica" w:cs="Helvetica"/>
          <w:b/>
          <w:sz w:val="28"/>
          <w:szCs w:val="28"/>
          <w:u w:val="single"/>
        </w:rPr>
        <w:t>ASSOCIATION</w:t>
      </w:r>
      <w:r w:rsidR="00973A82">
        <w:rPr>
          <w:rFonts w:ascii="Helvetica" w:hAnsi="Helvetica" w:cs="Helvetica"/>
          <w:b/>
          <w:sz w:val="28"/>
          <w:szCs w:val="28"/>
          <w:u w:val="single"/>
        </w:rPr>
        <w:t>’</w:t>
      </w:r>
    </w:p>
    <w:p w14:paraId="6A45218B" w14:textId="77777777" w:rsidR="00064240" w:rsidRDefault="00064240" w:rsidP="00064240">
      <w:pPr>
        <w:rPr>
          <w:rFonts w:ascii="Helvetica" w:hAnsi="Helvetica" w:cs="Helvetica"/>
          <w:sz w:val="22"/>
          <w:szCs w:val="22"/>
        </w:rPr>
      </w:pPr>
    </w:p>
    <w:p w14:paraId="7924B60C" w14:textId="77777777" w:rsidR="00064240" w:rsidRPr="00F47053" w:rsidRDefault="00064240" w:rsidP="00064240">
      <w:pPr>
        <w:rPr>
          <w:rFonts w:ascii="Helvetica" w:hAnsi="Helvetica" w:cs="Helvetica"/>
        </w:rPr>
      </w:pPr>
    </w:p>
    <w:p w14:paraId="2B65A0A9" w14:textId="1351B42D" w:rsidR="009E553D" w:rsidRPr="008605E7" w:rsidRDefault="009E553D" w:rsidP="009E553D">
      <w:pPr>
        <w:rPr>
          <w:rFonts w:ascii="Helvetica" w:hAnsi="Helvetica" w:cs="Helvetica"/>
        </w:rPr>
      </w:pPr>
      <w:r w:rsidRPr="008605E7">
        <w:rPr>
          <w:rFonts w:ascii="Helvetica" w:hAnsi="Helvetica" w:cs="Helvetica"/>
        </w:rPr>
        <w:t xml:space="preserve">The SDA </w:t>
      </w:r>
      <w:r w:rsidR="00B55E30">
        <w:rPr>
          <w:rFonts w:ascii="Helvetica" w:hAnsi="Helvetica" w:cs="Helvetica"/>
        </w:rPr>
        <w:t xml:space="preserve">supports the </w:t>
      </w:r>
      <w:r w:rsidR="00B270F3">
        <w:rPr>
          <w:rFonts w:ascii="Helvetica" w:hAnsi="Helvetica" w:cs="Helvetica"/>
        </w:rPr>
        <w:t xml:space="preserve">submission of the ACTU and </w:t>
      </w:r>
      <w:r w:rsidRPr="008605E7">
        <w:rPr>
          <w:rFonts w:ascii="Helvetica" w:hAnsi="Helvetica" w:cs="Helvetica"/>
        </w:rPr>
        <w:t xml:space="preserve">welcomes the opportunity to make a </w:t>
      </w:r>
      <w:r w:rsidR="00B270F3">
        <w:rPr>
          <w:rFonts w:ascii="Helvetica" w:hAnsi="Helvetica" w:cs="Helvetica"/>
        </w:rPr>
        <w:t xml:space="preserve">supplementary </w:t>
      </w:r>
      <w:r w:rsidRPr="008605E7">
        <w:rPr>
          <w:rFonts w:ascii="Helvetica" w:hAnsi="Helvetica" w:cs="Helvetica"/>
        </w:rPr>
        <w:t>submission to the 2020 Annual Wage Review (AWR).</w:t>
      </w:r>
    </w:p>
    <w:p w14:paraId="74D138C6" w14:textId="77777777" w:rsidR="009E553D" w:rsidRPr="008605E7" w:rsidRDefault="009E553D" w:rsidP="009E553D">
      <w:pPr>
        <w:rPr>
          <w:rFonts w:ascii="Helvetica" w:hAnsi="Helvetica" w:cs="Helvetica"/>
          <w:color w:val="4472C4" w:themeColor="accent1"/>
        </w:rPr>
      </w:pPr>
    </w:p>
    <w:p w14:paraId="73AD23F6" w14:textId="52F09AF4" w:rsidR="00E0421A" w:rsidRDefault="00064240" w:rsidP="00064240">
      <w:pPr>
        <w:rPr>
          <w:rFonts w:ascii="Helvetica" w:hAnsi="Helvetica" w:cs="Helvetica"/>
        </w:rPr>
      </w:pPr>
      <w:r w:rsidRPr="00F47053">
        <w:rPr>
          <w:rFonts w:ascii="Helvetica" w:hAnsi="Helvetica" w:cs="Helvetica"/>
        </w:rPr>
        <w:t>The Shop Distributive and Allied Employees Association (SDA</w:t>
      </w:r>
      <w:r w:rsidR="002B7ABC" w:rsidRPr="00F47053">
        <w:rPr>
          <w:rFonts w:ascii="Helvetica" w:hAnsi="Helvetica" w:cs="Helvetica"/>
        </w:rPr>
        <w:t>EA</w:t>
      </w:r>
      <w:r w:rsidRPr="00F47053">
        <w:rPr>
          <w:rFonts w:ascii="Helvetica" w:hAnsi="Helvetica" w:cs="Helvetica"/>
        </w:rPr>
        <w:t>) represents over 200,000 workers in the retail, fast food and distribution sectors in Australia.</w:t>
      </w:r>
      <w:r w:rsidR="0045215E">
        <w:rPr>
          <w:rFonts w:ascii="Helvetica" w:hAnsi="Helvetica" w:cs="Helvetica"/>
        </w:rPr>
        <w:t xml:space="preserve"> </w:t>
      </w:r>
      <w:r w:rsidR="0045215E" w:rsidRPr="0045215E">
        <w:rPr>
          <w:rFonts w:ascii="Helvetica" w:hAnsi="Helvetica" w:cs="Helvetica"/>
        </w:rPr>
        <w:t>Each of these sectors is heavily reliant on continued, growing aggregate demand.</w:t>
      </w:r>
    </w:p>
    <w:p w14:paraId="45EDF64B" w14:textId="77777777" w:rsidR="00F6386C" w:rsidRPr="0092545B" w:rsidRDefault="00F6386C" w:rsidP="00F6386C">
      <w:pPr>
        <w:rPr>
          <w:rFonts w:ascii="Museo 100" w:hAnsi="Museo 100"/>
          <w:sz w:val="22"/>
          <w:szCs w:val="22"/>
        </w:rPr>
      </w:pPr>
    </w:p>
    <w:p w14:paraId="550E8199" w14:textId="024D1EA1" w:rsidR="00F6386C" w:rsidRPr="00E746EF" w:rsidRDefault="00F6386C" w:rsidP="00F6386C">
      <w:pPr>
        <w:rPr>
          <w:rFonts w:ascii="Helvetica" w:hAnsi="Helvetica" w:cs="Helvetica"/>
        </w:rPr>
      </w:pPr>
      <w:r w:rsidRPr="00E746EF">
        <w:rPr>
          <w:rFonts w:ascii="Helvetica" w:hAnsi="Helvetica" w:cs="Helvetica"/>
        </w:rPr>
        <w:t xml:space="preserve">This is particularly acute in the retail sector – the industry which employs more Australians than any other. As of November 2019, the sector employed 1.275 million Australians. A decline in aggregate demand constrains the growth of the sector overall, limiting future opportunities for the existing workforce as well as potential entrants into the sector.  </w:t>
      </w:r>
    </w:p>
    <w:p w14:paraId="288EA912" w14:textId="77777777" w:rsidR="00F6386C" w:rsidRPr="00E746EF" w:rsidRDefault="00F6386C" w:rsidP="00F6386C">
      <w:pPr>
        <w:rPr>
          <w:rFonts w:ascii="Helvetica" w:hAnsi="Helvetica" w:cs="Helvetica"/>
        </w:rPr>
      </w:pPr>
    </w:p>
    <w:p w14:paraId="03F8CCE4" w14:textId="77777777" w:rsidR="00F6386C" w:rsidRPr="00DC390D" w:rsidRDefault="00F6386C" w:rsidP="00F6386C">
      <w:r w:rsidRPr="00DC390D">
        <w:rPr>
          <w:noProof/>
        </w:rPr>
        <w:drawing>
          <wp:inline distT="0" distB="0" distL="0" distR="0" wp14:anchorId="72EA3E47" wp14:editId="1F6427E6">
            <wp:extent cx="5257800" cy="3757930"/>
            <wp:effectExtent l="0" t="0" r="12700" b="13970"/>
            <wp:docPr id="20" name="Chart 20">
              <a:extLst xmlns:a="http://schemas.openxmlformats.org/drawingml/2006/main">
                <a:ext uri="{FF2B5EF4-FFF2-40B4-BE49-F238E27FC236}">
                  <a16:creationId xmlns:a16="http://schemas.microsoft.com/office/drawing/2014/main" id="{A7006B80-2246-FD4A-BBA9-3D8E51F20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D906E3" w14:textId="66DD4630" w:rsidR="00F6386C" w:rsidRPr="006A48A5" w:rsidRDefault="00751D46" w:rsidP="000B6D31">
      <w:pPr>
        <w:pStyle w:val="Quote"/>
        <w:ind w:left="0"/>
        <w:jc w:val="both"/>
        <w:rPr>
          <w:sz w:val="21"/>
          <w:szCs w:val="21"/>
        </w:rPr>
      </w:pPr>
      <w:r>
        <w:rPr>
          <w:sz w:val="21"/>
          <w:szCs w:val="21"/>
        </w:rPr>
        <w:t xml:space="preserve">Figure 1: </w:t>
      </w:r>
      <w:r w:rsidR="006A48A5" w:rsidRPr="006A48A5">
        <w:rPr>
          <w:sz w:val="21"/>
          <w:szCs w:val="21"/>
        </w:rPr>
        <w:t xml:space="preserve">Source: ABS Cat. </w:t>
      </w:r>
      <w:r w:rsidR="006A48A5">
        <w:rPr>
          <w:sz w:val="21"/>
          <w:szCs w:val="21"/>
        </w:rPr>
        <w:t xml:space="preserve">6291.0.55.003; Labour Force, Australia, Detailed Quarterly. </w:t>
      </w:r>
      <w:r w:rsidR="000B6D31">
        <w:rPr>
          <w:rStyle w:val="EndnoteReference"/>
          <w:sz w:val="21"/>
          <w:szCs w:val="21"/>
        </w:rPr>
        <w:endnoteReference w:id="1"/>
      </w:r>
    </w:p>
    <w:p w14:paraId="22C4BA2B" w14:textId="77777777" w:rsidR="00E0421A" w:rsidRDefault="00E0421A" w:rsidP="00064240">
      <w:pPr>
        <w:rPr>
          <w:rFonts w:ascii="Helvetica" w:hAnsi="Helvetica" w:cs="Helvetica"/>
        </w:rPr>
      </w:pPr>
    </w:p>
    <w:p w14:paraId="1C307EE1" w14:textId="77777777" w:rsidR="00E0421A" w:rsidRDefault="00E0421A" w:rsidP="00064240">
      <w:pPr>
        <w:rPr>
          <w:rFonts w:ascii="Helvetica" w:hAnsi="Helvetica" w:cs="Helvetica"/>
        </w:rPr>
      </w:pPr>
    </w:p>
    <w:p w14:paraId="1591F4EC" w14:textId="77777777" w:rsidR="00E0421A" w:rsidRDefault="00E0421A" w:rsidP="00064240">
      <w:pPr>
        <w:rPr>
          <w:rFonts w:ascii="Helvetica" w:hAnsi="Helvetica" w:cs="Helvetica"/>
        </w:rPr>
      </w:pPr>
    </w:p>
    <w:p w14:paraId="47019850" w14:textId="45B6AF9F" w:rsidR="002D4A7C" w:rsidRDefault="00847A43" w:rsidP="00064240">
      <w:pPr>
        <w:rPr>
          <w:rFonts w:ascii="Helvetica" w:hAnsi="Helvetica" w:cs="Helvetica"/>
        </w:rPr>
      </w:pPr>
      <w:r w:rsidRPr="00F47053">
        <w:rPr>
          <w:rFonts w:ascii="Helvetica" w:hAnsi="Helvetica" w:cs="Helvetica"/>
        </w:rPr>
        <w:t xml:space="preserve">Almost 10% of the Australian workforce are engaged in the </w:t>
      </w:r>
      <w:r w:rsidR="00F11ACC">
        <w:rPr>
          <w:rFonts w:ascii="Helvetica" w:hAnsi="Helvetica" w:cs="Helvetica"/>
        </w:rPr>
        <w:t>r</w:t>
      </w:r>
      <w:r w:rsidR="00F11ACC" w:rsidRPr="00F47053">
        <w:rPr>
          <w:rFonts w:ascii="Helvetica" w:hAnsi="Helvetica" w:cs="Helvetica"/>
        </w:rPr>
        <w:t xml:space="preserve">etail </w:t>
      </w:r>
      <w:r w:rsidRPr="00F47053">
        <w:rPr>
          <w:rFonts w:ascii="Helvetica" w:hAnsi="Helvetica" w:cs="Helvetica"/>
        </w:rPr>
        <w:t xml:space="preserve">industry </w:t>
      </w:r>
      <w:r w:rsidR="0038493F" w:rsidRPr="00F47053">
        <w:rPr>
          <w:rFonts w:ascii="Helvetica" w:hAnsi="Helvetica" w:cs="Helvetica"/>
        </w:rPr>
        <w:t>and the General Retail In</w:t>
      </w:r>
      <w:r w:rsidR="00B808F5" w:rsidRPr="00F47053">
        <w:rPr>
          <w:rFonts w:ascii="Helvetica" w:hAnsi="Helvetica" w:cs="Helvetica"/>
        </w:rPr>
        <w:t xml:space="preserve">dustry Award (GRIA) </w:t>
      </w:r>
      <w:r w:rsidR="0026220A" w:rsidRPr="00F47053">
        <w:rPr>
          <w:rFonts w:ascii="Helvetica" w:hAnsi="Helvetica" w:cs="Helvetica"/>
        </w:rPr>
        <w:t xml:space="preserve">covers the majority of </w:t>
      </w:r>
      <w:r w:rsidR="00E3778A" w:rsidRPr="00F47053">
        <w:rPr>
          <w:rFonts w:ascii="Helvetica" w:hAnsi="Helvetica" w:cs="Helvetica"/>
        </w:rPr>
        <w:t>people working in the industry.</w:t>
      </w:r>
    </w:p>
    <w:p w14:paraId="1D8BA37B" w14:textId="110B7A0E" w:rsidR="00BF23C6" w:rsidRDefault="00BF23C6" w:rsidP="00064240">
      <w:pPr>
        <w:rPr>
          <w:rFonts w:ascii="Helvetica" w:hAnsi="Helvetica" w:cs="Helvetica"/>
        </w:rPr>
      </w:pPr>
    </w:p>
    <w:p w14:paraId="05E76912" w14:textId="77777777" w:rsidR="00BF23C6" w:rsidRPr="00F47053" w:rsidRDefault="00BF23C6" w:rsidP="00BF23C6">
      <w:pPr>
        <w:rPr>
          <w:rFonts w:ascii="Helvetica" w:hAnsi="Helvetica" w:cs="Helvetica"/>
        </w:rPr>
      </w:pPr>
      <w:r w:rsidRPr="00F47053">
        <w:rPr>
          <w:rFonts w:ascii="Helvetica" w:hAnsi="Helvetica" w:cs="Helvetica"/>
        </w:rPr>
        <w:t>The retail and fast food sectors have a high proportion of casual and part-time employees.</w:t>
      </w:r>
    </w:p>
    <w:p w14:paraId="005632CC" w14:textId="77777777" w:rsidR="00BF23C6" w:rsidRDefault="00BF23C6" w:rsidP="00064240">
      <w:pPr>
        <w:rPr>
          <w:rFonts w:ascii="Helvetica" w:hAnsi="Helvetica" w:cs="Helvetica"/>
        </w:rPr>
      </w:pPr>
    </w:p>
    <w:p w14:paraId="187227F9" w14:textId="6E742A49" w:rsidR="003B0C12" w:rsidRDefault="003B0C12" w:rsidP="00064240">
      <w:pPr>
        <w:rPr>
          <w:rFonts w:ascii="Helvetica" w:hAnsi="Helvetica" w:cs="Helvetica"/>
        </w:rPr>
      </w:pPr>
    </w:p>
    <w:p w14:paraId="79872083" w14:textId="7336C420" w:rsidR="003B0C12" w:rsidRPr="003B0C12" w:rsidRDefault="003B0C12" w:rsidP="00064240">
      <w:pPr>
        <w:rPr>
          <w:rFonts w:ascii="Helvetica" w:hAnsi="Helvetica" w:cs="Helvetica"/>
          <w:b/>
          <w:sz w:val="28"/>
          <w:szCs w:val="28"/>
          <w:u w:val="single"/>
        </w:rPr>
      </w:pPr>
      <w:r w:rsidRPr="003B0C12">
        <w:rPr>
          <w:rFonts w:ascii="Helvetica" w:hAnsi="Helvetica" w:cs="Helvetica"/>
          <w:b/>
          <w:sz w:val="28"/>
          <w:szCs w:val="28"/>
          <w:u w:val="single"/>
        </w:rPr>
        <w:t>The Importance of The AWR to Wages In Retail and Fast Food</w:t>
      </w:r>
    </w:p>
    <w:p w14:paraId="33667F2A" w14:textId="7E29489E" w:rsidR="002D4A7C" w:rsidRDefault="002D4A7C" w:rsidP="00064240">
      <w:pPr>
        <w:rPr>
          <w:rFonts w:ascii="Helvetica" w:hAnsi="Helvetica" w:cs="Helvetica"/>
          <w:sz w:val="22"/>
          <w:szCs w:val="22"/>
        </w:rPr>
      </w:pPr>
    </w:p>
    <w:p w14:paraId="32853BB4" w14:textId="77777777" w:rsidR="003B0C12" w:rsidRDefault="003B0C12" w:rsidP="00F47053">
      <w:pPr>
        <w:spacing w:line="240" w:lineRule="auto"/>
        <w:rPr>
          <w:rFonts w:ascii="Helvetica" w:hAnsi="Helvetica" w:cs="Helvetica"/>
        </w:rPr>
      </w:pPr>
    </w:p>
    <w:p w14:paraId="4F5ADA1D" w14:textId="170EEC20" w:rsidR="00472243" w:rsidRPr="00993D77" w:rsidRDefault="00F47053" w:rsidP="00F47053">
      <w:pPr>
        <w:spacing w:line="240" w:lineRule="auto"/>
        <w:rPr>
          <w:rFonts w:ascii="Helvetica" w:hAnsi="Helvetica" w:cs="Helvetica"/>
        </w:rPr>
      </w:pPr>
      <w:r w:rsidRPr="00993D77">
        <w:rPr>
          <w:rFonts w:ascii="Helvetica" w:hAnsi="Helvetica" w:cs="Helvetica"/>
        </w:rPr>
        <w:t>The ‘</w:t>
      </w:r>
      <w:r w:rsidR="00472243" w:rsidRPr="00993D77">
        <w:rPr>
          <w:rFonts w:ascii="Helvetica" w:hAnsi="Helvetica" w:cs="Helvetica"/>
        </w:rPr>
        <w:t xml:space="preserve">Trends in Federal Enterprise Bargaining – September </w:t>
      </w:r>
      <w:r w:rsidRPr="00993D77">
        <w:rPr>
          <w:rFonts w:ascii="Helvetica" w:hAnsi="Helvetica" w:cs="Helvetica"/>
        </w:rPr>
        <w:t>Q</w:t>
      </w:r>
      <w:r w:rsidR="00472243" w:rsidRPr="00993D77">
        <w:rPr>
          <w:rFonts w:ascii="Helvetica" w:hAnsi="Helvetica" w:cs="Helvetica"/>
        </w:rPr>
        <w:t>uarter 2019</w:t>
      </w:r>
      <w:r w:rsidR="00B91710">
        <w:rPr>
          <w:rFonts w:ascii="Helvetica" w:hAnsi="Helvetica" w:cs="Helvetica"/>
        </w:rPr>
        <w:t>’</w:t>
      </w:r>
      <w:r w:rsidR="00472243" w:rsidRPr="00993D77">
        <w:rPr>
          <w:rFonts w:ascii="Helvetica" w:hAnsi="Helvetica" w:cs="Helvetica"/>
        </w:rPr>
        <w:t xml:space="preserve"> report </w:t>
      </w:r>
      <w:r w:rsidRPr="00993D77">
        <w:rPr>
          <w:rFonts w:ascii="Helvetica" w:hAnsi="Helvetica" w:cs="Helvetica"/>
        </w:rPr>
        <w:t>found that</w:t>
      </w:r>
      <w:r w:rsidR="003C4E5F" w:rsidRPr="00993D77">
        <w:rPr>
          <w:rFonts w:ascii="Helvetica" w:hAnsi="Helvetica" w:cs="Helvetica"/>
        </w:rPr>
        <w:t>:</w:t>
      </w:r>
    </w:p>
    <w:p w14:paraId="23F64F38" w14:textId="2ADD9052" w:rsidR="00F47053" w:rsidRPr="00993D77" w:rsidRDefault="00472243" w:rsidP="00F47053">
      <w:pPr>
        <w:spacing w:line="240" w:lineRule="auto"/>
        <w:rPr>
          <w:rFonts w:ascii="Helvetica" w:hAnsi="Helvetica" w:cs="Helvetica"/>
        </w:rPr>
      </w:pPr>
      <w:r w:rsidRPr="00993D77">
        <w:rPr>
          <w:rFonts w:ascii="Helvetica" w:hAnsi="Helvetica" w:cs="Helvetica"/>
        </w:rPr>
        <w:t xml:space="preserve"> </w:t>
      </w:r>
      <w:r w:rsidR="00F47053" w:rsidRPr="00993D77">
        <w:rPr>
          <w:rFonts w:ascii="Helvetica" w:hAnsi="Helvetica" w:cs="Helvetica"/>
        </w:rPr>
        <w:t xml:space="preserve"> </w:t>
      </w:r>
    </w:p>
    <w:p w14:paraId="1FAF0F6D" w14:textId="779343B4" w:rsidR="003C4E5F" w:rsidRPr="00993D77" w:rsidRDefault="003C4E5F" w:rsidP="003C4E5F">
      <w:pPr>
        <w:spacing w:line="240" w:lineRule="auto"/>
        <w:ind w:left="720"/>
        <w:rPr>
          <w:rFonts w:ascii="Helvetica" w:hAnsi="Helvetica" w:cs="Helvetica"/>
        </w:rPr>
      </w:pPr>
      <w:r w:rsidRPr="00993D77">
        <w:rPr>
          <w:rFonts w:ascii="Helvetica" w:hAnsi="Helvetica" w:cs="Helvetica"/>
        </w:rPr>
        <w:t>-</w:t>
      </w:r>
      <w:r w:rsidR="00F47053" w:rsidRPr="00993D77">
        <w:rPr>
          <w:rFonts w:ascii="Helvetica" w:hAnsi="Helvetica" w:cs="Helvetica"/>
        </w:rPr>
        <w:t xml:space="preserve"> In total, enterprise agreements (including federal and state) covered 37.9 per cent (rounded) of all Australian employees in May 2018. (latest data)</w:t>
      </w:r>
      <w:r w:rsidR="00FF6E6B">
        <w:rPr>
          <w:rFonts w:ascii="Helvetica" w:hAnsi="Helvetica" w:cs="Helvetica"/>
        </w:rPr>
        <w:t>. This figure was 41</w:t>
      </w:r>
      <w:r w:rsidR="00DD3BC6">
        <w:rPr>
          <w:rFonts w:ascii="Helvetica" w:hAnsi="Helvetica" w:cs="Helvetica"/>
        </w:rPr>
        <w:t>.1% in 2014.</w:t>
      </w:r>
    </w:p>
    <w:p w14:paraId="3B49E725" w14:textId="1AD605F4" w:rsidR="00F47053" w:rsidRPr="00993D77" w:rsidRDefault="00F47053" w:rsidP="003C4E5F">
      <w:pPr>
        <w:spacing w:line="240" w:lineRule="auto"/>
        <w:ind w:left="720"/>
        <w:rPr>
          <w:rFonts w:ascii="Helvetica" w:hAnsi="Helvetica" w:cs="Helvetica"/>
        </w:rPr>
      </w:pPr>
      <w:r w:rsidRPr="00993D77">
        <w:rPr>
          <w:rFonts w:ascii="Helvetica" w:hAnsi="Helvetica" w:cs="Helvetica"/>
        </w:rPr>
        <w:t xml:space="preserve"> </w:t>
      </w:r>
    </w:p>
    <w:p w14:paraId="0C89B047" w14:textId="77777777" w:rsidR="00993D77" w:rsidRPr="00993D77" w:rsidRDefault="003C4E5F" w:rsidP="003C4E5F">
      <w:pPr>
        <w:spacing w:line="240" w:lineRule="auto"/>
        <w:ind w:left="720"/>
        <w:rPr>
          <w:rFonts w:ascii="Helvetica" w:hAnsi="Helvetica" w:cs="Helvetica"/>
        </w:rPr>
      </w:pPr>
      <w:r w:rsidRPr="00993D77">
        <w:rPr>
          <w:rFonts w:ascii="Helvetica" w:hAnsi="Helvetica" w:cs="Helvetica"/>
        </w:rPr>
        <w:t>-</w:t>
      </w:r>
      <w:r w:rsidR="00F47053" w:rsidRPr="00993D77">
        <w:rPr>
          <w:rFonts w:ascii="Helvetica" w:hAnsi="Helvetica" w:cs="Helvetica"/>
        </w:rPr>
        <w:t xml:space="preserve"> Federal enterprise agreements (examined by th</w:t>
      </w:r>
      <w:r w:rsidR="00993D77" w:rsidRPr="00993D77">
        <w:rPr>
          <w:rFonts w:ascii="Helvetica" w:hAnsi="Helvetica" w:cs="Helvetica"/>
        </w:rPr>
        <w:t>e Sept QTR 2019</w:t>
      </w:r>
      <w:r w:rsidR="00F47053" w:rsidRPr="00993D77">
        <w:rPr>
          <w:rFonts w:ascii="Helvetica" w:hAnsi="Helvetica" w:cs="Helvetica"/>
        </w:rPr>
        <w:t xml:space="preserve"> report) covered 30.4 per cent of all Australian employees as at May 2018. (latest data)</w:t>
      </w:r>
    </w:p>
    <w:p w14:paraId="1D353B14" w14:textId="05F7BFE7" w:rsidR="00F47053" w:rsidRPr="00993D77" w:rsidRDefault="00F47053" w:rsidP="003C4E5F">
      <w:pPr>
        <w:spacing w:line="240" w:lineRule="auto"/>
        <w:ind w:left="720"/>
        <w:rPr>
          <w:rFonts w:ascii="Helvetica" w:hAnsi="Helvetica" w:cs="Helvetica"/>
        </w:rPr>
      </w:pPr>
      <w:r w:rsidRPr="00993D77">
        <w:rPr>
          <w:rFonts w:ascii="Helvetica" w:hAnsi="Helvetica" w:cs="Helvetica"/>
        </w:rPr>
        <w:t xml:space="preserve"> </w:t>
      </w:r>
    </w:p>
    <w:p w14:paraId="1E28306E" w14:textId="17055FC7" w:rsidR="00F47053" w:rsidRDefault="00993D77" w:rsidP="00993D77">
      <w:pPr>
        <w:spacing w:line="240" w:lineRule="auto"/>
        <w:ind w:left="720"/>
        <w:rPr>
          <w:rFonts w:ascii="Helvetica" w:hAnsi="Helvetica" w:cs="Helvetica"/>
        </w:rPr>
      </w:pPr>
      <w:r w:rsidRPr="00993D77">
        <w:rPr>
          <w:rFonts w:ascii="Helvetica" w:hAnsi="Helvetica" w:cs="Helvetica"/>
        </w:rPr>
        <w:t>-</w:t>
      </w:r>
      <w:r w:rsidR="00F47053" w:rsidRPr="00993D77">
        <w:rPr>
          <w:rFonts w:ascii="Helvetica" w:hAnsi="Helvetica" w:cs="Helvetica"/>
        </w:rPr>
        <w:t xml:space="preserve"> Numbers of agreements have dropped. There were 10,877 current (not expired or terminated) agreements as at 30 September 2019. This is lower than the 11,335 agreements current as at 30 June 2019 and is lower than the 10,996 agreements current at 30 September 2018.</w:t>
      </w:r>
    </w:p>
    <w:p w14:paraId="2A2EC49D" w14:textId="54F42804" w:rsidR="00B91710" w:rsidRDefault="00B91710" w:rsidP="00B91710">
      <w:pPr>
        <w:spacing w:line="240" w:lineRule="auto"/>
        <w:rPr>
          <w:rFonts w:ascii="Helvetica" w:hAnsi="Helvetica" w:cs="Helvetica"/>
        </w:rPr>
      </w:pPr>
    </w:p>
    <w:p w14:paraId="35AFF90C" w14:textId="049036F7" w:rsidR="00B91710" w:rsidRPr="00993D77" w:rsidRDefault="00B91710" w:rsidP="00B91710">
      <w:pPr>
        <w:spacing w:line="240" w:lineRule="auto"/>
        <w:rPr>
          <w:rFonts w:ascii="Helvetica" w:hAnsi="Helvetica" w:cs="Helvetica"/>
        </w:rPr>
      </w:pPr>
      <w:r>
        <w:rPr>
          <w:rFonts w:ascii="Helvetica" w:hAnsi="Helvetica" w:cs="Helvetica"/>
        </w:rPr>
        <w:t>W</w:t>
      </w:r>
      <w:r w:rsidR="0025495B">
        <w:rPr>
          <w:rFonts w:ascii="Helvetica" w:hAnsi="Helvetica" w:cs="Helvetica"/>
        </w:rPr>
        <w:t>hilst e</w:t>
      </w:r>
      <w:r>
        <w:rPr>
          <w:rFonts w:ascii="Helvetica" w:hAnsi="Helvetica" w:cs="Helvetica"/>
        </w:rPr>
        <w:t xml:space="preserve">nterprise bargaining </w:t>
      </w:r>
      <w:r w:rsidR="003E4A12">
        <w:rPr>
          <w:rFonts w:ascii="Helvetica" w:hAnsi="Helvetica" w:cs="Helvetica"/>
        </w:rPr>
        <w:t>continu</w:t>
      </w:r>
      <w:r w:rsidR="0025495B">
        <w:rPr>
          <w:rFonts w:ascii="Helvetica" w:hAnsi="Helvetica" w:cs="Helvetica"/>
        </w:rPr>
        <w:t>es</w:t>
      </w:r>
      <w:r w:rsidR="003E4A12">
        <w:rPr>
          <w:rFonts w:ascii="Helvetica" w:hAnsi="Helvetica" w:cs="Helvetica"/>
        </w:rPr>
        <w:t xml:space="preserve"> to decline </w:t>
      </w:r>
      <w:r w:rsidR="00E56B23">
        <w:rPr>
          <w:rFonts w:ascii="Helvetica" w:hAnsi="Helvetica" w:cs="Helvetica"/>
        </w:rPr>
        <w:t xml:space="preserve">across the economy </w:t>
      </w:r>
      <w:r w:rsidR="002416D8">
        <w:rPr>
          <w:rFonts w:ascii="Helvetica" w:hAnsi="Helvetica" w:cs="Helvetica"/>
        </w:rPr>
        <w:t xml:space="preserve">the majority of SDA members </w:t>
      </w:r>
      <w:r w:rsidR="00957700">
        <w:rPr>
          <w:rFonts w:ascii="Helvetica" w:hAnsi="Helvetica" w:cs="Helvetica"/>
        </w:rPr>
        <w:t xml:space="preserve">continue to work under </w:t>
      </w:r>
      <w:r w:rsidR="00E56B23">
        <w:rPr>
          <w:rFonts w:ascii="Helvetica" w:hAnsi="Helvetica" w:cs="Helvetica"/>
        </w:rPr>
        <w:t xml:space="preserve">SDA </w:t>
      </w:r>
      <w:r w:rsidR="00957700">
        <w:rPr>
          <w:rFonts w:ascii="Helvetica" w:hAnsi="Helvetica" w:cs="Helvetica"/>
        </w:rPr>
        <w:t xml:space="preserve">negotiated </w:t>
      </w:r>
      <w:r w:rsidR="00E56B23">
        <w:rPr>
          <w:rFonts w:ascii="Helvetica" w:hAnsi="Helvetica" w:cs="Helvetica"/>
        </w:rPr>
        <w:t>Enterprise Agreements</w:t>
      </w:r>
      <w:r w:rsidR="008F63D1">
        <w:rPr>
          <w:rFonts w:ascii="Helvetica" w:hAnsi="Helvetica" w:cs="Helvetica"/>
        </w:rPr>
        <w:t xml:space="preserve">. However, the majority of these SDA negotiated </w:t>
      </w:r>
      <w:r w:rsidR="007D6A31">
        <w:rPr>
          <w:rFonts w:ascii="Helvetica" w:hAnsi="Helvetica" w:cs="Helvetica"/>
        </w:rPr>
        <w:t>Enterprise Agreements contain</w:t>
      </w:r>
      <w:r w:rsidR="0012646D">
        <w:rPr>
          <w:rFonts w:ascii="Helvetica" w:hAnsi="Helvetica" w:cs="Helvetica"/>
        </w:rPr>
        <w:t xml:space="preserve"> wage increases linked to</w:t>
      </w:r>
      <w:r w:rsidR="007D6A31">
        <w:rPr>
          <w:rFonts w:ascii="Helvetica" w:hAnsi="Helvetica" w:cs="Helvetica"/>
        </w:rPr>
        <w:t xml:space="preserve"> </w:t>
      </w:r>
      <w:r w:rsidR="003E4A12">
        <w:rPr>
          <w:rFonts w:ascii="Helvetica" w:hAnsi="Helvetica" w:cs="Helvetica"/>
        </w:rPr>
        <w:t>the Annual Wage</w:t>
      </w:r>
      <w:r w:rsidR="004B0151">
        <w:rPr>
          <w:rFonts w:ascii="Helvetica" w:hAnsi="Helvetica" w:cs="Helvetica"/>
        </w:rPr>
        <w:t xml:space="preserve"> </w:t>
      </w:r>
      <w:r w:rsidR="008E526C">
        <w:rPr>
          <w:rFonts w:ascii="Helvetica" w:hAnsi="Helvetica" w:cs="Helvetica"/>
        </w:rPr>
        <w:t xml:space="preserve">Review, </w:t>
      </w:r>
      <w:r w:rsidR="004B0151">
        <w:rPr>
          <w:rFonts w:ascii="Helvetica" w:hAnsi="Helvetica" w:cs="Helvetica"/>
        </w:rPr>
        <w:t>so the AWR</w:t>
      </w:r>
      <w:r w:rsidR="003E4A12">
        <w:rPr>
          <w:rFonts w:ascii="Helvetica" w:hAnsi="Helvetica" w:cs="Helvetica"/>
        </w:rPr>
        <w:t xml:space="preserve"> </w:t>
      </w:r>
      <w:r w:rsidR="007D6A31">
        <w:rPr>
          <w:rFonts w:ascii="Helvetica" w:hAnsi="Helvetica" w:cs="Helvetica"/>
        </w:rPr>
        <w:t xml:space="preserve">is </w:t>
      </w:r>
      <w:r w:rsidR="00142ACA">
        <w:rPr>
          <w:rFonts w:ascii="Helvetica" w:hAnsi="Helvetica" w:cs="Helvetica"/>
        </w:rPr>
        <w:t>critical</w:t>
      </w:r>
      <w:r w:rsidR="007D6A31">
        <w:rPr>
          <w:rFonts w:ascii="Helvetica" w:hAnsi="Helvetica" w:cs="Helvetica"/>
        </w:rPr>
        <w:t xml:space="preserve"> </w:t>
      </w:r>
      <w:r w:rsidR="0012646D">
        <w:rPr>
          <w:rFonts w:ascii="Helvetica" w:hAnsi="Helvetica" w:cs="Helvetica"/>
        </w:rPr>
        <w:t xml:space="preserve">to </w:t>
      </w:r>
      <w:r w:rsidR="00142ACA">
        <w:rPr>
          <w:rFonts w:ascii="Helvetica" w:hAnsi="Helvetica" w:cs="Helvetica"/>
        </w:rPr>
        <w:t>the overwhelming majority of employees</w:t>
      </w:r>
      <w:r w:rsidR="006C78E8">
        <w:rPr>
          <w:rFonts w:ascii="Helvetica" w:hAnsi="Helvetica" w:cs="Helvetica"/>
        </w:rPr>
        <w:t xml:space="preserve"> (both </w:t>
      </w:r>
      <w:r w:rsidR="0012646D">
        <w:rPr>
          <w:rFonts w:ascii="Helvetica" w:hAnsi="Helvetica" w:cs="Helvetica"/>
        </w:rPr>
        <w:t xml:space="preserve">Award </w:t>
      </w:r>
      <w:r w:rsidR="00930C22">
        <w:rPr>
          <w:rFonts w:ascii="Helvetica" w:hAnsi="Helvetica" w:cs="Helvetica"/>
        </w:rPr>
        <w:t xml:space="preserve">and Agreement </w:t>
      </w:r>
      <w:r w:rsidR="006C78E8">
        <w:rPr>
          <w:rFonts w:ascii="Helvetica" w:hAnsi="Helvetica" w:cs="Helvetica"/>
        </w:rPr>
        <w:t xml:space="preserve">covered) </w:t>
      </w:r>
      <w:r w:rsidR="00930C22">
        <w:rPr>
          <w:rFonts w:ascii="Helvetica" w:hAnsi="Helvetica" w:cs="Helvetica"/>
        </w:rPr>
        <w:t>in the retail and fast food industries</w:t>
      </w:r>
      <w:r w:rsidR="003B1E38">
        <w:rPr>
          <w:rFonts w:ascii="Helvetica" w:hAnsi="Helvetica" w:cs="Helvetica"/>
        </w:rPr>
        <w:t>.</w:t>
      </w:r>
    </w:p>
    <w:p w14:paraId="348D54D7" w14:textId="2CFC80BE" w:rsidR="00523549" w:rsidRDefault="00523549">
      <w:pPr>
        <w:rPr>
          <w:rFonts w:ascii="Helvetica" w:hAnsi="Helvetica" w:cs="Helvetica"/>
        </w:rPr>
      </w:pPr>
    </w:p>
    <w:p w14:paraId="6DE3BB2F" w14:textId="5490E2D3" w:rsidR="00523549" w:rsidRDefault="00523549">
      <w:pPr>
        <w:rPr>
          <w:rFonts w:ascii="Helvetica" w:hAnsi="Helvetica" w:cs="Helvetica"/>
        </w:rPr>
      </w:pPr>
    </w:p>
    <w:p w14:paraId="555A9018" w14:textId="3653D5EE" w:rsidR="00523549" w:rsidRPr="00A956DE" w:rsidRDefault="00E11EF6">
      <w:pPr>
        <w:rPr>
          <w:rFonts w:ascii="Helvetica" w:hAnsi="Helvetica" w:cs="Helvetica"/>
          <w:b/>
          <w:sz w:val="28"/>
          <w:szCs w:val="28"/>
          <w:u w:val="single"/>
        </w:rPr>
      </w:pPr>
      <w:r>
        <w:rPr>
          <w:rFonts w:ascii="Helvetica" w:hAnsi="Helvetica" w:cs="Helvetica"/>
          <w:b/>
          <w:sz w:val="28"/>
          <w:szCs w:val="28"/>
          <w:u w:val="single"/>
        </w:rPr>
        <w:t xml:space="preserve">Point 3.2 of the </w:t>
      </w:r>
      <w:r w:rsidR="00523549" w:rsidRPr="00A956DE">
        <w:rPr>
          <w:rFonts w:ascii="Helvetica" w:hAnsi="Helvetica" w:cs="Helvetica"/>
          <w:b/>
          <w:sz w:val="28"/>
          <w:szCs w:val="28"/>
          <w:u w:val="single"/>
        </w:rPr>
        <w:t xml:space="preserve">National Retailers </w:t>
      </w:r>
      <w:r w:rsidR="0043242E" w:rsidRPr="00A956DE">
        <w:rPr>
          <w:rFonts w:ascii="Helvetica" w:hAnsi="Helvetica" w:cs="Helvetica"/>
          <w:b/>
          <w:sz w:val="28"/>
          <w:szCs w:val="28"/>
          <w:u w:val="single"/>
        </w:rPr>
        <w:t xml:space="preserve">(NRA) </w:t>
      </w:r>
      <w:r w:rsidR="00523549" w:rsidRPr="00A956DE">
        <w:rPr>
          <w:rFonts w:ascii="Helvetica" w:hAnsi="Helvetica" w:cs="Helvetica"/>
          <w:b/>
          <w:sz w:val="28"/>
          <w:szCs w:val="28"/>
          <w:u w:val="single"/>
        </w:rPr>
        <w:t>Recovery Plan</w:t>
      </w:r>
      <w:r>
        <w:rPr>
          <w:rFonts w:ascii="Helvetica" w:hAnsi="Helvetica" w:cs="Helvetica"/>
          <w:b/>
          <w:sz w:val="28"/>
          <w:szCs w:val="28"/>
          <w:u w:val="single"/>
        </w:rPr>
        <w:t xml:space="preserve"> will undermine the industry </w:t>
      </w:r>
    </w:p>
    <w:p w14:paraId="2F8B0071" w14:textId="029CCB11" w:rsidR="0030524B" w:rsidRDefault="0030524B">
      <w:pPr>
        <w:rPr>
          <w:rFonts w:ascii="Helvetica" w:hAnsi="Helvetica" w:cs="Helvetica"/>
        </w:rPr>
      </w:pPr>
    </w:p>
    <w:p w14:paraId="542700C0" w14:textId="0C7C4121" w:rsidR="0030524B" w:rsidRDefault="0043242E">
      <w:pPr>
        <w:rPr>
          <w:rFonts w:ascii="Helvetica" w:hAnsi="Helvetica" w:cs="Helvetica"/>
        </w:rPr>
      </w:pPr>
      <w:r>
        <w:rPr>
          <w:rFonts w:ascii="Helvetica" w:hAnsi="Helvetica" w:cs="Helvetica"/>
        </w:rPr>
        <w:t xml:space="preserve">In February 2020 the </w:t>
      </w:r>
      <w:r w:rsidR="00B72B74">
        <w:rPr>
          <w:rFonts w:ascii="Helvetica" w:hAnsi="Helvetica" w:cs="Helvetica"/>
        </w:rPr>
        <w:t xml:space="preserve">NRA released an Industry Recovery Plan which submitted that </w:t>
      </w:r>
      <w:r w:rsidR="009F3909">
        <w:rPr>
          <w:rFonts w:ascii="Helvetica" w:hAnsi="Helvetica" w:cs="Helvetica"/>
        </w:rPr>
        <w:t xml:space="preserve">any </w:t>
      </w:r>
      <w:r w:rsidR="00B72B74">
        <w:rPr>
          <w:rFonts w:ascii="Helvetica" w:hAnsi="Helvetica" w:cs="Helvetica"/>
        </w:rPr>
        <w:t xml:space="preserve">AWR </w:t>
      </w:r>
      <w:r w:rsidR="009F3909">
        <w:rPr>
          <w:rFonts w:ascii="Helvetica" w:hAnsi="Helvetica" w:cs="Helvetica"/>
        </w:rPr>
        <w:t xml:space="preserve">increase should not apply in those areas ravaged by the </w:t>
      </w:r>
      <w:r w:rsidR="00CA557E">
        <w:rPr>
          <w:rFonts w:ascii="Helvetica" w:hAnsi="Helvetica" w:cs="Helvetica"/>
        </w:rPr>
        <w:t xml:space="preserve">Summer </w:t>
      </w:r>
      <w:r w:rsidR="00F11ACC">
        <w:rPr>
          <w:rFonts w:ascii="Helvetica" w:hAnsi="Helvetica" w:cs="Helvetica"/>
        </w:rPr>
        <w:t>bushfires</w:t>
      </w:r>
      <w:r w:rsidR="00CA557E">
        <w:rPr>
          <w:rFonts w:ascii="Helvetica" w:hAnsi="Helvetica" w:cs="Helvetica"/>
        </w:rPr>
        <w:t>.</w:t>
      </w:r>
    </w:p>
    <w:p w14:paraId="03C074F1" w14:textId="0952EAD7" w:rsidR="0030524B" w:rsidRDefault="0030524B">
      <w:pPr>
        <w:rPr>
          <w:rFonts w:ascii="Helvetica" w:hAnsi="Helvetica" w:cs="Helvetica"/>
        </w:rPr>
      </w:pPr>
    </w:p>
    <w:p w14:paraId="4D07F0CD" w14:textId="290A2D3C" w:rsidR="0030524B" w:rsidRDefault="008B4C71">
      <w:pPr>
        <w:rPr>
          <w:rFonts w:ascii="Helvetica" w:hAnsi="Helvetica" w:cs="Helvetica"/>
        </w:rPr>
      </w:pPr>
      <w:r>
        <w:rPr>
          <w:rFonts w:ascii="Helvetica" w:hAnsi="Helvetica" w:cs="Helvetica"/>
        </w:rPr>
        <w:t>This thinking should not and cannot be entertained by the panel determining the AWR.</w:t>
      </w:r>
      <w:r w:rsidR="00CC3B75">
        <w:rPr>
          <w:rFonts w:ascii="Helvetica" w:hAnsi="Helvetica" w:cs="Helvetica"/>
        </w:rPr>
        <w:t xml:space="preserve"> Those communities have suffered enough and to have the employees (ie consumers) in those communities </w:t>
      </w:r>
      <w:r w:rsidR="0083673F">
        <w:rPr>
          <w:rFonts w:ascii="Helvetica" w:hAnsi="Helvetica" w:cs="Helvetica"/>
        </w:rPr>
        <w:t xml:space="preserve">punished a second time by a wage freeze </w:t>
      </w:r>
      <w:r w:rsidR="00507B25">
        <w:rPr>
          <w:rFonts w:ascii="Helvetica" w:hAnsi="Helvetica" w:cs="Helvetica"/>
        </w:rPr>
        <w:t xml:space="preserve">would be unconscionable. Not only would it be unconscionable, it would </w:t>
      </w:r>
      <w:r w:rsidR="00B55E30">
        <w:rPr>
          <w:rFonts w:ascii="Helvetica" w:hAnsi="Helvetica" w:cs="Helvetica"/>
        </w:rPr>
        <w:t>display a poor understanding of how economies work.</w:t>
      </w:r>
    </w:p>
    <w:p w14:paraId="5C73E129" w14:textId="6491C03A" w:rsidR="0030524B" w:rsidRDefault="0030524B">
      <w:pPr>
        <w:rPr>
          <w:rFonts w:ascii="Helvetica" w:hAnsi="Helvetica" w:cs="Helvetica"/>
        </w:rPr>
      </w:pPr>
    </w:p>
    <w:p w14:paraId="4D474FEA" w14:textId="77777777" w:rsidR="003D7D62" w:rsidRPr="008605E7" w:rsidRDefault="003D7D62" w:rsidP="003D7D62">
      <w:pPr>
        <w:rPr>
          <w:rFonts w:ascii="Helvetica" w:hAnsi="Helvetica" w:cs="Helvetica"/>
        </w:rPr>
      </w:pPr>
      <w:r w:rsidRPr="008605E7">
        <w:rPr>
          <w:rFonts w:ascii="Helvetica" w:hAnsi="Helvetica" w:cs="Helvetica"/>
        </w:rPr>
        <w:t xml:space="preserve">Retail and fast food jobs are heavily dependent on the broader Australian community being able to freely participate in consumption. The challenges facing retailers across Australia are many, including the stubbornly low rate of wage growth that has impacted gross demand across the Australian economy for over a decade. </w:t>
      </w:r>
    </w:p>
    <w:p w14:paraId="43D1AD48" w14:textId="77777777" w:rsidR="003D7D62" w:rsidRPr="008605E7" w:rsidRDefault="003D7D62" w:rsidP="003D7D62">
      <w:pPr>
        <w:rPr>
          <w:rFonts w:ascii="Helvetica" w:hAnsi="Helvetica" w:cs="Helvetica"/>
        </w:rPr>
      </w:pPr>
    </w:p>
    <w:p w14:paraId="5DF184DC" w14:textId="15DB44B7" w:rsidR="003D7D62" w:rsidRPr="008605E7" w:rsidRDefault="003D7D62" w:rsidP="003D7D62">
      <w:pPr>
        <w:rPr>
          <w:rFonts w:ascii="Helvetica" w:hAnsi="Helvetica" w:cs="Helvetica"/>
        </w:rPr>
      </w:pPr>
      <w:r w:rsidRPr="008605E7">
        <w:rPr>
          <w:rFonts w:ascii="Helvetica" w:hAnsi="Helvetica" w:cs="Helvetica"/>
        </w:rPr>
        <w:t>The less money workershave in their back pockets, the less money they are likely to spend in their local economies. This dynamic places downward pressure on the wages and conditions of the workforce the SDA represents.</w:t>
      </w:r>
    </w:p>
    <w:p w14:paraId="1582E6BB" w14:textId="2324D206" w:rsidR="003D7D62" w:rsidRDefault="003D7D62" w:rsidP="003D7D62">
      <w:pPr>
        <w:rPr>
          <w:rFonts w:ascii="Helvetica" w:hAnsi="Helvetica" w:cs="Helvetica"/>
        </w:rPr>
      </w:pPr>
    </w:p>
    <w:p w14:paraId="5699E4EE" w14:textId="68F05381" w:rsidR="00E11EF6" w:rsidRDefault="00E11EF6" w:rsidP="003D7D62">
      <w:pPr>
        <w:rPr>
          <w:rFonts w:ascii="Helvetica" w:hAnsi="Helvetica" w:cs="Helvetica"/>
        </w:rPr>
      </w:pPr>
    </w:p>
    <w:p w14:paraId="29DB2DE2" w14:textId="0751B544" w:rsidR="00E11EF6" w:rsidRPr="008333F2" w:rsidRDefault="00E11EF6" w:rsidP="00E11EF6">
      <w:pPr>
        <w:spacing w:line="240" w:lineRule="auto"/>
        <w:rPr>
          <w:rFonts w:ascii="Helvetica" w:hAnsi="Helvetica" w:cs="Helvetica"/>
          <w:b/>
          <w:sz w:val="28"/>
          <w:szCs w:val="28"/>
        </w:rPr>
      </w:pPr>
      <w:r w:rsidRPr="008333F2">
        <w:rPr>
          <w:rFonts w:ascii="Helvetica" w:hAnsi="Helvetica" w:cs="Helvetica"/>
          <w:b/>
          <w:sz w:val="28"/>
          <w:szCs w:val="28"/>
          <w:u w:val="single"/>
        </w:rPr>
        <w:t xml:space="preserve">Bushfire </w:t>
      </w:r>
      <w:r w:rsidR="00875FA4" w:rsidRPr="008333F2">
        <w:rPr>
          <w:rFonts w:ascii="Helvetica" w:hAnsi="Helvetica" w:cs="Helvetica"/>
          <w:b/>
          <w:sz w:val="28"/>
          <w:szCs w:val="28"/>
          <w:u w:val="single"/>
        </w:rPr>
        <w:t xml:space="preserve">and Virus </w:t>
      </w:r>
      <w:r w:rsidRPr="008333F2">
        <w:rPr>
          <w:rFonts w:ascii="Helvetica" w:hAnsi="Helvetica" w:cs="Helvetica"/>
          <w:b/>
          <w:sz w:val="28"/>
          <w:szCs w:val="28"/>
          <w:u w:val="single"/>
        </w:rPr>
        <w:t xml:space="preserve">Recovery Can’t Depend on Burdening Workers </w:t>
      </w:r>
    </w:p>
    <w:p w14:paraId="66C05BEB" w14:textId="3ACCDBF7" w:rsidR="00E11EF6" w:rsidRPr="008333F2" w:rsidRDefault="00E11EF6" w:rsidP="003D7D62">
      <w:pPr>
        <w:rPr>
          <w:rFonts w:ascii="Helvetica" w:hAnsi="Helvetica" w:cs="Helvetica"/>
        </w:rPr>
      </w:pPr>
    </w:p>
    <w:p w14:paraId="21DEDD30" w14:textId="17E7DD06" w:rsidR="00E11EF6" w:rsidRPr="008333F2" w:rsidRDefault="00E11EF6" w:rsidP="003D7D62">
      <w:pPr>
        <w:rPr>
          <w:rFonts w:ascii="Helvetica" w:hAnsi="Helvetica" w:cs="Helvetica"/>
        </w:rPr>
      </w:pPr>
      <w:r w:rsidRPr="008333F2">
        <w:rPr>
          <w:rFonts w:ascii="Helvetica" w:hAnsi="Helvetica" w:cs="Helvetica"/>
        </w:rPr>
        <w:t>The NRA’s proposal to exempt business in bushfire affected areas</w:t>
      </w:r>
      <w:r w:rsidR="00F54E4F" w:rsidRPr="008333F2">
        <w:rPr>
          <w:rFonts w:ascii="Helvetica" w:hAnsi="Helvetica" w:cs="Helvetica"/>
        </w:rPr>
        <w:t>, and those affected by Coronavirus (COVID 19)</w:t>
      </w:r>
      <w:r w:rsidRPr="008333F2">
        <w:rPr>
          <w:rFonts w:ascii="Helvetica" w:hAnsi="Helvetica" w:cs="Helvetica"/>
        </w:rPr>
        <w:t xml:space="preserve"> from minimum wage increases is impractical and administratively burdensome, deeply unfair to workers, and opens the door to Government abrogating its responsibility to utilise fiscal policy to expedite the economic recovery in affected communities. </w:t>
      </w:r>
    </w:p>
    <w:p w14:paraId="4D3D7A2A" w14:textId="4A847E97" w:rsidR="00E11EF6" w:rsidRPr="008333F2" w:rsidRDefault="00E11EF6" w:rsidP="003D7D62">
      <w:pPr>
        <w:rPr>
          <w:rFonts w:ascii="Helvetica" w:hAnsi="Helvetica" w:cs="Helvetica"/>
        </w:rPr>
      </w:pPr>
    </w:p>
    <w:p w14:paraId="7B618306" w14:textId="4E68E602" w:rsidR="00875FA4" w:rsidRPr="008333F2" w:rsidRDefault="00E11EF6" w:rsidP="003D7D62">
      <w:pPr>
        <w:rPr>
          <w:rFonts w:ascii="Helvetica" w:hAnsi="Helvetica" w:cs="Helvetica"/>
        </w:rPr>
      </w:pPr>
      <w:r w:rsidRPr="008333F2">
        <w:rPr>
          <w:rFonts w:ascii="Helvetica" w:hAnsi="Helvetica" w:cs="Helvetica"/>
        </w:rPr>
        <w:t>The NRA’s proposal would, in effect, lead to a two-tiered system where some business</w:t>
      </w:r>
      <w:r w:rsidR="00F11ACC">
        <w:rPr>
          <w:rFonts w:ascii="Helvetica" w:hAnsi="Helvetica" w:cs="Helvetica"/>
        </w:rPr>
        <w:t>es</w:t>
      </w:r>
      <w:r w:rsidRPr="008333F2">
        <w:rPr>
          <w:rFonts w:ascii="Helvetica" w:hAnsi="Helvetica" w:cs="Helvetica"/>
        </w:rPr>
        <w:t xml:space="preserve"> must oblige by certain obligations </w:t>
      </w:r>
      <w:r w:rsidR="00F54E4F" w:rsidRPr="008333F2">
        <w:rPr>
          <w:rFonts w:ascii="Helvetica" w:hAnsi="Helvetica" w:cs="Helvetica"/>
        </w:rPr>
        <w:t>while</w:t>
      </w:r>
      <w:r w:rsidRPr="008333F2">
        <w:rPr>
          <w:rFonts w:ascii="Helvetica" w:hAnsi="Helvetica" w:cs="Helvetica"/>
        </w:rPr>
        <w:t xml:space="preserve"> others adhere to a different set of rules. Such a framework is administratively complex, not to mention unfair. There is, of course, a genuine and challenging burden placed upon all businesses in communities impacted by natural disasters – especially this summer’s atrocious bushfires across South Australia, Victoria, New South Wales and Queensland. Simply excluding business</w:t>
      </w:r>
      <w:r w:rsidR="00F11ACC">
        <w:rPr>
          <w:rFonts w:ascii="Helvetica" w:hAnsi="Helvetica" w:cs="Helvetica"/>
        </w:rPr>
        <w:t>es</w:t>
      </w:r>
      <w:r w:rsidRPr="008333F2">
        <w:rPr>
          <w:rFonts w:ascii="Helvetica" w:hAnsi="Helvetica" w:cs="Helvetica"/>
        </w:rPr>
        <w:t xml:space="preserve"> in these communities from National Minimum Wage Orders (NMWOs) is not a sensible approach, </w:t>
      </w:r>
      <w:r w:rsidR="00875FA4" w:rsidRPr="008333F2">
        <w:rPr>
          <w:rFonts w:ascii="Helvetica" w:hAnsi="Helvetica" w:cs="Helvetica"/>
        </w:rPr>
        <w:t>particularly when more immediate measures are available to communities to alleviate economic distress</w:t>
      </w:r>
      <w:r w:rsidRPr="008333F2">
        <w:rPr>
          <w:rFonts w:ascii="Helvetica" w:hAnsi="Helvetica" w:cs="Helvetica"/>
        </w:rPr>
        <w:t xml:space="preserve">. </w:t>
      </w:r>
    </w:p>
    <w:p w14:paraId="18E6721C" w14:textId="77777777" w:rsidR="00875FA4" w:rsidRPr="008333F2" w:rsidRDefault="00875FA4" w:rsidP="003D7D62">
      <w:pPr>
        <w:rPr>
          <w:rFonts w:ascii="Helvetica" w:hAnsi="Helvetica" w:cs="Helvetica"/>
        </w:rPr>
      </w:pPr>
    </w:p>
    <w:p w14:paraId="57F93ED2" w14:textId="294CAFEC" w:rsidR="00E11EF6" w:rsidRPr="008333F2" w:rsidRDefault="00E11EF6" w:rsidP="003D7D62">
      <w:pPr>
        <w:rPr>
          <w:rFonts w:ascii="Helvetica" w:hAnsi="Helvetica" w:cs="Helvetica"/>
        </w:rPr>
      </w:pPr>
      <w:r w:rsidRPr="008333F2">
        <w:rPr>
          <w:rFonts w:ascii="Helvetica" w:hAnsi="Helvetica" w:cs="Helvetica"/>
        </w:rPr>
        <w:t xml:space="preserve">The Commonwealth Government has announced a $2 billion recovery effort aimed at restoring bushfire </w:t>
      </w:r>
      <w:r w:rsidR="00875FA4" w:rsidRPr="008333F2">
        <w:rPr>
          <w:rFonts w:ascii="Helvetica" w:hAnsi="Helvetica" w:cs="Helvetica"/>
        </w:rPr>
        <w:t>affected</w:t>
      </w:r>
      <w:r w:rsidRPr="008333F2">
        <w:rPr>
          <w:rFonts w:ascii="Helvetica" w:hAnsi="Helvetica" w:cs="Helvetica"/>
        </w:rPr>
        <w:t xml:space="preserve"> communities to full economic health. It is in the interest of both businesses and workers that the available fiscal stimulus is quickly deployed to ensure that business</w:t>
      </w:r>
      <w:r w:rsidR="00F11ACC">
        <w:rPr>
          <w:rFonts w:ascii="Helvetica" w:hAnsi="Helvetica" w:cs="Helvetica"/>
        </w:rPr>
        <w:t>es</w:t>
      </w:r>
      <w:r w:rsidRPr="008333F2">
        <w:rPr>
          <w:rFonts w:ascii="Helvetica" w:hAnsi="Helvetica" w:cs="Helvetica"/>
        </w:rPr>
        <w:t xml:space="preserve"> struggling to meet their existing obligations are supported, and their staff are able to remain employed. </w:t>
      </w:r>
      <w:r w:rsidR="00ED05BA" w:rsidRPr="008333F2">
        <w:rPr>
          <w:rFonts w:ascii="Helvetica" w:hAnsi="Helvetica" w:cs="Helvetica"/>
        </w:rPr>
        <w:t xml:space="preserve">Allowing businesses to avoid complying with NWMOs may provide a disincentive for State and Commonwealth Governments to distribute stimulus assistance to those businesses. </w:t>
      </w:r>
    </w:p>
    <w:p w14:paraId="7853A133" w14:textId="3B5C11B2" w:rsidR="00E11EF6" w:rsidRPr="008333F2" w:rsidRDefault="00E11EF6" w:rsidP="003D7D62">
      <w:pPr>
        <w:rPr>
          <w:rFonts w:ascii="Helvetica" w:hAnsi="Helvetica" w:cs="Helvetica"/>
        </w:rPr>
      </w:pPr>
    </w:p>
    <w:p w14:paraId="03DEE899" w14:textId="7A28E418" w:rsidR="00875FA4" w:rsidRPr="008333F2" w:rsidRDefault="00E11EF6" w:rsidP="003D7D62">
      <w:pPr>
        <w:rPr>
          <w:rFonts w:ascii="Helvetica" w:hAnsi="Helvetica" w:cs="Helvetica"/>
        </w:rPr>
      </w:pPr>
      <w:r w:rsidRPr="008333F2">
        <w:rPr>
          <w:rFonts w:ascii="Helvetica" w:hAnsi="Helvetica" w:cs="Helvetica"/>
        </w:rPr>
        <w:t>The NRAs proposal to exclude bushfire affected businesses from N</w:t>
      </w:r>
      <w:r w:rsidR="00875FA4" w:rsidRPr="008333F2">
        <w:rPr>
          <w:rFonts w:ascii="Helvetica" w:hAnsi="Helvetica" w:cs="Helvetica"/>
        </w:rPr>
        <w:t xml:space="preserve">MWOs effectively shifts the burden of recovery from the Commonwealth and State Governments to workers themselves. The SDA notes that the NRAs proposal is, in fact, not specific to bushfire-affected businesses – but all retail businesses affected by the indirect economic impact of the Coronavirus (COVID 19) outbreak in 2020. Given the economic impact of Coronavirus is national, this proposal is, in effect, an argument in favour of suspending a rise in the NMWO. It is the SDA’s view that such a step will not </w:t>
      </w:r>
      <w:r w:rsidR="00875FA4" w:rsidRPr="008333F2">
        <w:rPr>
          <w:rFonts w:ascii="Helvetica" w:hAnsi="Helvetica" w:cs="Helvetica"/>
        </w:rPr>
        <w:lastRenderedPageBreak/>
        <w:t xml:space="preserve">only undermine the livelihoods of SDA members, but further constrain aggregate demand and, in fact, worsen the economic challenges already facing the retail sector. </w:t>
      </w:r>
    </w:p>
    <w:p w14:paraId="76467E31" w14:textId="4E507C80" w:rsidR="00875FA4" w:rsidRPr="008333F2" w:rsidRDefault="00875FA4" w:rsidP="003D7D62">
      <w:pPr>
        <w:rPr>
          <w:rFonts w:ascii="Helvetica" w:hAnsi="Helvetica" w:cs="Helvetica"/>
        </w:rPr>
      </w:pPr>
    </w:p>
    <w:p w14:paraId="0CAD88BA" w14:textId="000760E5" w:rsidR="0094760C" w:rsidRPr="008333F2" w:rsidRDefault="0094760C" w:rsidP="003D7D62">
      <w:pPr>
        <w:rPr>
          <w:rFonts w:ascii="Helvetica" w:hAnsi="Helvetica" w:cs="Helvetica"/>
        </w:rPr>
      </w:pPr>
      <w:r w:rsidRPr="008333F2">
        <w:rPr>
          <w:rFonts w:ascii="Helvetica" w:hAnsi="Helvetica" w:cs="Helvetica"/>
        </w:rPr>
        <w:t xml:space="preserve">Further, the NRA puts forward no exit strategy to this proposal. While it might be simple to propose a policy where NMWO increases are avoided for certain businesses due </w:t>
      </w:r>
      <w:r w:rsidR="00721A40" w:rsidRPr="008333F2">
        <w:rPr>
          <w:rFonts w:ascii="Helvetica" w:hAnsi="Helvetica" w:cs="Helvetica"/>
        </w:rPr>
        <w:t>t</w:t>
      </w:r>
      <w:r w:rsidRPr="008333F2">
        <w:rPr>
          <w:rFonts w:ascii="Helvetica" w:hAnsi="Helvetica" w:cs="Helvetica"/>
        </w:rPr>
        <w:t>o an economic shock, this will set a permanent precedent. Such a proposal leaves many unanswered questions, such as:</w:t>
      </w:r>
    </w:p>
    <w:p w14:paraId="7AE28620" w14:textId="5F4061EC" w:rsidR="0094760C" w:rsidRPr="008333F2" w:rsidRDefault="0094760C" w:rsidP="003D7D62">
      <w:pPr>
        <w:rPr>
          <w:rFonts w:ascii="Helvetica" w:hAnsi="Helvetica" w:cs="Helvetica"/>
        </w:rPr>
      </w:pPr>
    </w:p>
    <w:p w14:paraId="43F994F1" w14:textId="6C026E8F" w:rsidR="0094760C" w:rsidRPr="008333F2" w:rsidRDefault="0094760C" w:rsidP="0094760C">
      <w:pPr>
        <w:pStyle w:val="ListParagraph"/>
        <w:numPr>
          <w:ilvl w:val="0"/>
          <w:numId w:val="1"/>
        </w:numPr>
        <w:rPr>
          <w:rFonts w:ascii="Helvetica" w:hAnsi="Helvetica" w:cs="Helvetica"/>
        </w:rPr>
      </w:pPr>
      <w:r w:rsidRPr="008333F2">
        <w:rPr>
          <w:rFonts w:ascii="Helvetica" w:hAnsi="Helvetica" w:cs="Helvetica"/>
        </w:rPr>
        <w:t xml:space="preserve">When will the businesses </w:t>
      </w:r>
      <w:r w:rsidR="00721A40" w:rsidRPr="008333F2">
        <w:rPr>
          <w:rFonts w:ascii="Helvetica" w:hAnsi="Helvetica" w:cs="Helvetica"/>
        </w:rPr>
        <w:t>impacted be asked to comply with the original NMWO?</w:t>
      </w:r>
    </w:p>
    <w:p w14:paraId="345867F9" w14:textId="0180DFF2" w:rsidR="00721A40" w:rsidRPr="008333F2" w:rsidRDefault="00721A40" w:rsidP="0094760C">
      <w:pPr>
        <w:pStyle w:val="ListParagraph"/>
        <w:numPr>
          <w:ilvl w:val="0"/>
          <w:numId w:val="1"/>
        </w:numPr>
        <w:rPr>
          <w:rFonts w:ascii="Helvetica" w:hAnsi="Helvetica" w:cs="Helvetica"/>
        </w:rPr>
      </w:pPr>
      <w:r w:rsidRPr="008333F2">
        <w:rPr>
          <w:rFonts w:ascii="Helvetica" w:hAnsi="Helvetica" w:cs="Helvetica"/>
        </w:rPr>
        <w:t>Will all businesses impacted by coronavirus nationwide be eligible to avoid complying with NMWOs?</w:t>
      </w:r>
    </w:p>
    <w:p w14:paraId="79CF5A4F" w14:textId="718CB07D" w:rsidR="00721A40" w:rsidRPr="008333F2" w:rsidRDefault="00721A40" w:rsidP="0094760C">
      <w:pPr>
        <w:pStyle w:val="ListParagraph"/>
        <w:numPr>
          <w:ilvl w:val="0"/>
          <w:numId w:val="1"/>
        </w:numPr>
        <w:rPr>
          <w:rFonts w:ascii="Helvetica" w:hAnsi="Helvetica" w:cs="Helvetica"/>
        </w:rPr>
      </w:pPr>
      <w:r w:rsidRPr="008333F2">
        <w:rPr>
          <w:rFonts w:ascii="Helvetica" w:hAnsi="Helvetica" w:cs="Helvetica"/>
        </w:rPr>
        <w:t>Will such a policy be utilised in all future economic shocks, including downturns, and other natural disasters?</w:t>
      </w:r>
    </w:p>
    <w:p w14:paraId="3D5BA64B" w14:textId="44CA9FE4" w:rsidR="00721A40" w:rsidRPr="008333F2" w:rsidRDefault="00721A40" w:rsidP="0094760C">
      <w:pPr>
        <w:pStyle w:val="ListParagraph"/>
        <w:numPr>
          <w:ilvl w:val="0"/>
          <w:numId w:val="1"/>
        </w:numPr>
        <w:rPr>
          <w:rFonts w:ascii="Helvetica" w:hAnsi="Helvetica" w:cs="Helvetica"/>
        </w:rPr>
      </w:pPr>
      <w:r w:rsidRPr="008333F2">
        <w:rPr>
          <w:rFonts w:ascii="Helvetica" w:hAnsi="Helvetica" w:cs="Helvetica"/>
        </w:rPr>
        <w:t>Will allowing affected businesses to avoid complying with the NMWO impact that business’ ability to seek other forms of compensation associated with State and Commonwealth Government stimuli in the wake of the crises?</w:t>
      </w:r>
    </w:p>
    <w:p w14:paraId="080DBF8F" w14:textId="77777777" w:rsidR="0094760C" w:rsidRPr="008333F2" w:rsidRDefault="0094760C" w:rsidP="003D7D62">
      <w:pPr>
        <w:rPr>
          <w:rFonts w:ascii="Helvetica" w:hAnsi="Helvetica" w:cs="Helvetica"/>
        </w:rPr>
      </w:pPr>
    </w:p>
    <w:p w14:paraId="561FB05B" w14:textId="102FECF1" w:rsidR="00E11EF6" w:rsidRDefault="00875FA4" w:rsidP="003D7D62">
      <w:pPr>
        <w:rPr>
          <w:rFonts w:ascii="Helvetica" w:hAnsi="Helvetica" w:cs="Helvetica"/>
        </w:rPr>
      </w:pPr>
      <w:r w:rsidRPr="008333F2">
        <w:rPr>
          <w:rFonts w:ascii="Helvetica" w:hAnsi="Helvetica" w:cs="Helvetica"/>
        </w:rPr>
        <w:t>Commonwealth and State Governments have fiscal and policy mechanisms at their disposal to ensure businesses and workers affected by both bushfires and coronavirus are supported. These are serious economic challenges that demand sensible responses from all stakeholders. Now is not the time to utilise the bushfire disaster and Coronavirus outbreak to lower the wages of workers in the retail sector – wherever they may live.</w:t>
      </w:r>
      <w:r>
        <w:rPr>
          <w:rFonts w:ascii="Helvetica" w:hAnsi="Helvetica" w:cs="Helvetica"/>
        </w:rPr>
        <w:t xml:space="preserve"> </w:t>
      </w:r>
    </w:p>
    <w:p w14:paraId="7C7B8646" w14:textId="59923355" w:rsidR="00E11EF6" w:rsidRDefault="00E11EF6" w:rsidP="003D7D62">
      <w:pPr>
        <w:rPr>
          <w:rFonts w:ascii="Helvetica" w:hAnsi="Helvetica" w:cs="Helvetica"/>
        </w:rPr>
      </w:pPr>
    </w:p>
    <w:p w14:paraId="4BE48083" w14:textId="182306BF" w:rsidR="0030524B" w:rsidRDefault="0030524B">
      <w:pPr>
        <w:rPr>
          <w:rFonts w:ascii="Helvetica" w:hAnsi="Helvetica" w:cs="Helvetica"/>
        </w:rPr>
      </w:pPr>
    </w:p>
    <w:p w14:paraId="0C32F415" w14:textId="1CC9BA3D" w:rsidR="00870092" w:rsidRPr="00A956DE" w:rsidRDefault="00870092" w:rsidP="00870092">
      <w:pPr>
        <w:spacing w:line="240" w:lineRule="auto"/>
        <w:rPr>
          <w:rFonts w:ascii="Helvetica" w:hAnsi="Helvetica" w:cs="Helvetica"/>
          <w:b/>
          <w:sz w:val="28"/>
          <w:szCs w:val="28"/>
        </w:rPr>
      </w:pPr>
      <w:r w:rsidRPr="00A956DE">
        <w:rPr>
          <w:rFonts w:ascii="Helvetica" w:hAnsi="Helvetica" w:cs="Helvetica"/>
          <w:b/>
          <w:sz w:val="28"/>
          <w:szCs w:val="28"/>
          <w:u w:val="single"/>
        </w:rPr>
        <w:t>Penalty Rate</w:t>
      </w:r>
      <w:r w:rsidR="005B1033" w:rsidRPr="00A956DE">
        <w:rPr>
          <w:rFonts w:ascii="Helvetica" w:hAnsi="Helvetica" w:cs="Helvetica"/>
          <w:b/>
          <w:sz w:val="28"/>
          <w:szCs w:val="28"/>
          <w:u w:val="single"/>
        </w:rPr>
        <w:t xml:space="preserve"> Cuts Continue to Impact Retail Workers</w:t>
      </w:r>
      <w:r w:rsidRPr="00A956DE">
        <w:rPr>
          <w:rFonts w:ascii="Helvetica" w:hAnsi="Helvetica" w:cs="Helvetica"/>
          <w:b/>
          <w:sz w:val="28"/>
          <w:szCs w:val="28"/>
        </w:rPr>
        <w:t xml:space="preserve"> </w:t>
      </w:r>
    </w:p>
    <w:p w14:paraId="19CA887F" w14:textId="77777777" w:rsidR="00870092" w:rsidRDefault="00870092" w:rsidP="00870092">
      <w:pPr>
        <w:spacing w:line="240" w:lineRule="auto"/>
        <w:rPr>
          <w:rFonts w:ascii="Helvetica" w:hAnsi="Helvetica" w:cs="Helvetica"/>
        </w:rPr>
      </w:pPr>
    </w:p>
    <w:p w14:paraId="09E332D4" w14:textId="3F21E08E" w:rsidR="00870092" w:rsidRPr="009F13AA" w:rsidRDefault="00870092" w:rsidP="00870092">
      <w:pPr>
        <w:spacing w:line="240" w:lineRule="auto"/>
        <w:rPr>
          <w:rFonts w:ascii="Helvetica" w:hAnsi="Helvetica" w:cs="Helvetica"/>
        </w:rPr>
      </w:pPr>
      <w:r w:rsidRPr="009F13AA">
        <w:rPr>
          <w:rFonts w:ascii="Helvetica" w:hAnsi="Helvetica" w:cs="Helvetica"/>
        </w:rPr>
        <w:t xml:space="preserve">After </w:t>
      </w:r>
      <w:r w:rsidR="005B1033">
        <w:rPr>
          <w:rFonts w:ascii="Helvetica" w:hAnsi="Helvetica" w:cs="Helvetica"/>
        </w:rPr>
        <w:t>lengthy</w:t>
      </w:r>
      <w:r w:rsidRPr="009F13AA">
        <w:rPr>
          <w:rFonts w:ascii="Helvetica" w:hAnsi="Helvetica" w:cs="Helvetica"/>
        </w:rPr>
        <w:t xml:space="preserve"> proceedings, the Penalty Rate case decision was handed down </w:t>
      </w:r>
      <w:r w:rsidR="00405A55">
        <w:rPr>
          <w:rFonts w:ascii="Helvetica" w:hAnsi="Helvetica" w:cs="Helvetica"/>
        </w:rPr>
        <w:t xml:space="preserve">by the FWC </w:t>
      </w:r>
      <w:r w:rsidRPr="009F13AA">
        <w:rPr>
          <w:rFonts w:ascii="Helvetica" w:hAnsi="Helvetica" w:cs="Helvetica"/>
        </w:rPr>
        <w:t xml:space="preserve">on 23 February, 2017. </w:t>
      </w:r>
      <w:r w:rsidR="00BD3884">
        <w:rPr>
          <w:rFonts w:ascii="Helvetica" w:hAnsi="Helvetica" w:cs="Helvetica"/>
        </w:rPr>
        <w:t xml:space="preserve">Workers in the sector are already feeling the consequences of lower pay as a result of this decision. </w:t>
      </w:r>
    </w:p>
    <w:p w14:paraId="23216299" w14:textId="77777777" w:rsidR="00405A55" w:rsidRDefault="00405A55" w:rsidP="00870092">
      <w:pPr>
        <w:spacing w:line="240" w:lineRule="auto"/>
        <w:rPr>
          <w:rFonts w:ascii="Helvetica" w:hAnsi="Helvetica"/>
        </w:rPr>
      </w:pPr>
    </w:p>
    <w:p w14:paraId="6C219574" w14:textId="48F7B40E" w:rsidR="00870092" w:rsidRDefault="00870092" w:rsidP="00870092">
      <w:pPr>
        <w:spacing w:line="240" w:lineRule="auto"/>
        <w:rPr>
          <w:rFonts w:ascii="Helvetica" w:hAnsi="Helvetica"/>
        </w:rPr>
      </w:pPr>
      <w:r>
        <w:rPr>
          <w:rFonts w:ascii="Helvetica" w:hAnsi="Helvetica"/>
        </w:rPr>
        <w:t xml:space="preserve">The Decision dramatically reduced Sunday penalty rates and Public Holiday Rates in </w:t>
      </w:r>
      <w:r w:rsidR="00405A55">
        <w:rPr>
          <w:rFonts w:ascii="Helvetica" w:hAnsi="Helvetica"/>
        </w:rPr>
        <w:t>the SDA’s</w:t>
      </w:r>
      <w:r>
        <w:rPr>
          <w:rFonts w:ascii="Helvetica" w:hAnsi="Helvetica"/>
        </w:rPr>
        <w:t xml:space="preserve"> key awards.</w:t>
      </w:r>
    </w:p>
    <w:p w14:paraId="5F6F63F2" w14:textId="77777777" w:rsidR="00870092" w:rsidRPr="00EA68D4" w:rsidRDefault="00870092" w:rsidP="00870092">
      <w:pPr>
        <w:spacing w:line="240" w:lineRule="auto"/>
        <w:rPr>
          <w:rFonts w:ascii="Helvetica" w:hAnsi="Helvetica"/>
          <w:color w:val="FF0000"/>
        </w:rPr>
      </w:pPr>
    </w:p>
    <w:p w14:paraId="51C354C7" w14:textId="3DAD68AE" w:rsidR="00870092" w:rsidRDefault="00870092" w:rsidP="00870092">
      <w:pPr>
        <w:spacing w:line="240" w:lineRule="auto"/>
        <w:rPr>
          <w:rFonts w:ascii="Helvetica" w:hAnsi="Helvetica" w:cs="Helvetica"/>
        </w:rPr>
      </w:pPr>
      <w:r w:rsidRPr="00D3033E">
        <w:rPr>
          <w:rFonts w:ascii="Helvetica" w:hAnsi="Helvetica" w:cs="Helvetica"/>
        </w:rPr>
        <w:t>On the 7</w:t>
      </w:r>
      <w:r w:rsidRPr="00D3033E">
        <w:rPr>
          <w:rFonts w:ascii="Helvetica" w:hAnsi="Helvetica" w:cs="Helvetica"/>
          <w:vertAlign w:val="superscript"/>
        </w:rPr>
        <w:t>th</w:t>
      </w:r>
      <w:r w:rsidRPr="00D3033E">
        <w:rPr>
          <w:rFonts w:ascii="Helvetica" w:hAnsi="Helvetica" w:cs="Helvetica"/>
        </w:rPr>
        <w:t>June a decision</w:t>
      </w:r>
      <w:r>
        <w:rPr>
          <w:rFonts w:ascii="Helvetica" w:hAnsi="Helvetica" w:cs="Helvetica"/>
        </w:rPr>
        <w:t xml:space="preserve"> by FWC</w:t>
      </w:r>
      <w:r w:rsidRPr="00D3033E">
        <w:rPr>
          <w:rFonts w:ascii="Helvetica" w:hAnsi="Helvetica" w:cs="Helvetica"/>
        </w:rPr>
        <w:t xml:space="preserve"> was issued that </w:t>
      </w:r>
      <w:r w:rsidR="002E5D21">
        <w:rPr>
          <w:rFonts w:ascii="Helvetica" w:hAnsi="Helvetica" w:cs="Helvetica"/>
        </w:rPr>
        <w:t>provided</w:t>
      </w:r>
      <w:r w:rsidRPr="00D3033E">
        <w:rPr>
          <w:rFonts w:ascii="Helvetica" w:hAnsi="Helvetica" w:cs="Helvetica"/>
        </w:rPr>
        <w:t xml:space="preserve"> the following transition for Sunday rates: </w:t>
      </w:r>
    </w:p>
    <w:p w14:paraId="61746604" w14:textId="77777777" w:rsidR="008333F2" w:rsidRDefault="008333F2" w:rsidP="00870092">
      <w:pPr>
        <w:spacing w:line="240" w:lineRule="auto"/>
        <w:rPr>
          <w:rFonts w:ascii="Helvetica" w:hAnsi="Helvetica" w:cs="Helvetica"/>
        </w:rPr>
      </w:pPr>
    </w:p>
    <w:p w14:paraId="3CE1C090" w14:textId="77777777" w:rsidR="002E5D21" w:rsidRPr="00D3033E" w:rsidRDefault="002E5D21" w:rsidP="00870092">
      <w:pPr>
        <w:spacing w:line="240" w:lineRule="auto"/>
        <w:rPr>
          <w:rFonts w:ascii="Helvetica" w:hAnsi="Helvetica" w:cs="Helvetica"/>
        </w:rPr>
      </w:pPr>
    </w:p>
    <w:p w14:paraId="4D98475C" w14:textId="77777777" w:rsidR="00870092" w:rsidRPr="00D3033E" w:rsidRDefault="00870092" w:rsidP="00870092">
      <w:pPr>
        <w:spacing w:line="240" w:lineRule="auto"/>
        <w:rPr>
          <w:rFonts w:ascii="Helvetica" w:hAnsi="Helvetica" w:cs="Helvetica"/>
          <w:b/>
          <w:u w:val="single"/>
        </w:rPr>
      </w:pPr>
      <w:r w:rsidRPr="00D3033E">
        <w:rPr>
          <w:rFonts w:ascii="Helvetica" w:hAnsi="Helvetica" w:cs="Helvetica"/>
          <w:b/>
          <w:u w:val="single"/>
        </w:rPr>
        <w:t>Fast Food Industry Award</w:t>
      </w:r>
    </w:p>
    <w:p w14:paraId="4848063E" w14:textId="77777777" w:rsidR="0022211B" w:rsidRDefault="0022211B" w:rsidP="00870092">
      <w:pPr>
        <w:pStyle w:val="Default"/>
        <w:rPr>
          <w:rFonts w:ascii="Helvetica" w:hAnsi="Helvetica" w:cs="Helvetica"/>
          <w:bCs/>
          <w:color w:val="auto"/>
          <w:sz w:val="22"/>
          <w:szCs w:val="22"/>
          <w:u w:val="single"/>
        </w:rPr>
      </w:pPr>
    </w:p>
    <w:p w14:paraId="65F671EE" w14:textId="122C4B0E" w:rsidR="00870092" w:rsidRPr="00D3033E" w:rsidRDefault="00870092" w:rsidP="00870092">
      <w:pPr>
        <w:pStyle w:val="Default"/>
        <w:rPr>
          <w:rFonts w:ascii="Helvetica" w:hAnsi="Helvetica" w:cs="Helvetica"/>
          <w:color w:val="auto"/>
          <w:sz w:val="22"/>
          <w:szCs w:val="22"/>
          <w:u w:val="single"/>
        </w:rPr>
      </w:pPr>
      <w:r w:rsidRPr="00D3033E">
        <w:rPr>
          <w:rFonts w:ascii="Helvetica" w:hAnsi="Helvetica" w:cs="Helvetica"/>
          <w:bCs/>
          <w:color w:val="auto"/>
          <w:sz w:val="22"/>
          <w:szCs w:val="22"/>
          <w:u w:val="single"/>
        </w:rPr>
        <w:t xml:space="preserve">Full-time and part-time employees – Level 1 only </w:t>
      </w:r>
    </w:p>
    <w:p w14:paraId="3A7DABAD" w14:textId="77777777" w:rsidR="00870092" w:rsidRPr="00D3033E" w:rsidRDefault="00870092" w:rsidP="00870092">
      <w:pPr>
        <w:pStyle w:val="Default"/>
        <w:rPr>
          <w:rFonts w:ascii="Helvetica" w:hAnsi="Helvetica" w:cs="Helvetica"/>
          <w:color w:val="auto"/>
          <w:sz w:val="22"/>
          <w:szCs w:val="22"/>
        </w:rPr>
      </w:pPr>
    </w:p>
    <w:p w14:paraId="022FDB20" w14:textId="2E083D8C"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150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145 </w:t>
      </w:r>
      <w:r w:rsidRPr="00D3033E">
        <w:rPr>
          <w:rFonts w:ascii="Helvetica" w:hAnsi="Helvetica" w:cs="Helvetica"/>
          <w:color w:val="auto"/>
          <w:sz w:val="22"/>
          <w:szCs w:val="22"/>
        </w:rPr>
        <w:t xml:space="preserve">per cent </w:t>
      </w:r>
    </w:p>
    <w:p w14:paraId="00F614D9" w14:textId="37FA72BE"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145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135 </w:t>
      </w:r>
      <w:r w:rsidRPr="00D3033E">
        <w:rPr>
          <w:rFonts w:ascii="Helvetica" w:hAnsi="Helvetica" w:cs="Helvetica"/>
          <w:color w:val="auto"/>
          <w:sz w:val="22"/>
          <w:szCs w:val="22"/>
        </w:rPr>
        <w:t xml:space="preserve">per cent </w:t>
      </w:r>
    </w:p>
    <w:p w14:paraId="7B8A817A" w14:textId="77777777" w:rsidR="00870092" w:rsidRPr="00D3033E" w:rsidRDefault="00870092" w:rsidP="00870092">
      <w:pPr>
        <w:spacing w:line="240" w:lineRule="auto"/>
        <w:rPr>
          <w:rFonts w:ascii="Helvetica" w:hAnsi="Helvetica" w:cs="Helvetica"/>
        </w:rPr>
      </w:pPr>
      <w:r w:rsidRPr="00D3033E">
        <w:rPr>
          <w:rFonts w:ascii="Helvetica" w:hAnsi="Helvetica" w:cs="Helvetica"/>
        </w:rPr>
        <w:t xml:space="preserve">1 July 2019 135 per cent </w:t>
      </w:r>
      <w:r w:rsidRPr="00D3033E">
        <w:rPr>
          <w:rFonts w:ascii="Helvetica" w:hAnsi="Helvetica" w:cs="Helvetica"/>
        </w:rPr>
        <w:t></w:t>
      </w:r>
      <w:r w:rsidRPr="00D3033E">
        <w:rPr>
          <w:rFonts w:ascii="Helvetica" w:hAnsi="Helvetica" w:cs="Helvetica"/>
        </w:rPr>
        <w:t></w:t>
      </w:r>
      <w:r w:rsidRPr="00D3033E">
        <w:rPr>
          <w:rFonts w:ascii="Helvetica" w:hAnsi="Helvetica" w:cs="Helvetica"/>
          <w:b/>
          <w:bCs/>
        </w:rPr>
        <w:t xml:space="preserve">125 </w:t>
      </w:r>
      <w:r w:rsidRPr="00D3033E">
        <w:rPr>
          <w:rFonts w:ascii="Helvetica" w:hAnsi="Helvetica" w:cs="Helvetica"/>
        </w:rPr>
        <w:t>per cent</w:t>
      </w:r>
    </w:p>
    <w:p w14:paraId="6082BA27" w14:textId="77777777" w:rsidR="0022211B" w:rsidRDefault="0022211B" w:rsidP="00870092">
      <w:pPr>
        <w:pStyle w:val="Default"/>
        <w:rPr>
          <w:rFonts w:ascii="Helvetica" w:hAnsi="Helvetica" w:cs="Helvetica"/>
          <w:bCs/>
          <w:color w:val="auto"/>
          <w:sz w:val="22"/>
          <w:szCs w:val="22"/>
          <w:u w:val="single"/>
        </w:rPr>
      </w:pPr>
    </w:p>
    <w:p w14:paraId="0B962273" w14:textId="3506CA11" w:rsidR="00870092" w:rsidRPr="00D3033E" w:rsidRDefault="00870092" w:rsidP="00870092">
      <w:pPr>
        <w:pStyle w:val="Default"/>
        <w:rPr>
          <w:rFonts w:ascii="Helvetica" w:hAnsi="Helvetica" w:cs="Helvetica"/>
          <w:color w:val="auto"/>
          <w:sz w:val="22"/>
          <w:szCs w:val="22"/>
          <w:u w:val="single"/>
        </w:rPr>
      </w:pPr>
      <w:r w:rsidRPr="00D3033E">
        <w:rPr>
          <w:rFonts w:ascii="Helvetica" w:hAnsi="Helvetica" w:cs="Helvetica"/>
          <w:bCs/>
          <w:color w:val="auto"/>
          <w:sz w:val="22"/>
          <w:szCs w:val="22"/>
          <w:u w:val="single"/>
        </w:rPr>
        <w:lastRenderedPageBreak/>
        <w:t xml:space="preserve">Casual employees (inclusive of casual loading) – Level 1 only </w:t>
      </w:r>
    </w:p>
    <w:p w14:paraId="19B44343" w14:textId="77777777" w:rsidR="00870092" w:rsidRPr="00D3033E" w:rsidRDefault="00870092" w:rsidP="00870092">
      <w:pPr>
        <w:pStyle w:val="Default"/>
        <w:rPr>
          <w:rFonts w:ascii="Helvetica" w:hAnsi="Helvetica" w:cs="Helvetica"/>
          <w:color w:val="auto"/>
          <w:sz w:val="22"/>
          <w:szCs w:val="22"/>
        </w:rPr>
      </w:pPr>
    </w:p>
    <w:p w14:paraId="33851EA2" w14:textId="2584E2DE"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175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170 </w:t>
      </w:r>
      <w:r w:rsidRPr="00D3033E">
        <w:rPr>
          <w:rFonts w:ascii="Helvetica" w:hAnsi="Helvetica" w:cs="Helvetica"/>
          <w:color w:val="auto"/>
          <w:sz w:val="22"/>
          <w:szCs w:val="22"/>
        </w:rPr>
        <w:t xml:space="preserve">per cent </w:t>
      </w:r>
    </w:p>
    <w:p w14:paraId="14F4F6A9" w14:textId="0158C707"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170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160 </w:t>
      </w:r>
      <w:r w:rsidRPr="00D3033E">
        <w:rPr>
          <w:rFonts w:ascii="Helvetica" w:hAnsi="Helvetica" w:cs="Helvetica"/>
          <w:color w:val="auto"/>
          <w:sz w:val="22"/>
          <w:szCs w:val="22"/>
        </w:rPr>
        <w:t xml:space="preserve">per cent </w:t>
      </w:r>
    </w:p>
    <w:p w14:paraId="14A761A7" w14:textId="09E12AE0" w:rsidR="00870092" w:rsidRPr="00D3033E" w:rsidRDefault="00870092" w:rsidP="00870092">
      <w:pPr>
        <w:spacing w:line="240" w:lineRule="auto"/>
        <w:rPr>
          <w:rFonts w:ascii="Helvetica" w:hAnsi="Helvetica" w:cs="Helvetica"/>
        </w:rPr>
      </w:pPr>
      <w:r w:rsidRPr="00D3033E">
        <w:rPr>
          <w:rFonts w:ascii="Helvetica" w:hAnsi="Helvetica" w:cs="Helvetica"/>
        </w:rPr>
        <w:t xml:space="preserve">1 July 2019 160 per cent </w:t>
      </w:r>
      <w:r w:rsidR="006A48A5" w:rsidRPr="006A48A5">
        <w:rPr>
          <w:rFonts w:ascii="Helvetica" w:hAnsi="Helvetica" w:cs="Helvetica"/>
          <w:sz w:val="22"/>
          <w:szCs w:val="22"/>
        </w:rPr>
        <w:sym w:font="Wingdings" w:char="F0E0"/>
      </w:r>
      <w:r w:rsidRPr="00D3033E">
        <w:rPr>
          <w:rFonts w:ascii="Helvetica" w:hAnsi="Helvetica" w:cs="Helvetica"/>
          <w:b/>
          <w:bCs/>
        </w:rPr>
        <w:t xml:space="preserve">150 </w:t>
      </w:r>
      <w:r w:rsidRPr="00D3033E">
        <w:rPr>
          <w:rFonts w:ascii="Helvetica" w:hAnsi="Helvetica" w:cs="Helvetica"/>
        </w:rPr>
        <w:t>per cent</w:t>
      </w:r>
    </w:p>
    <w:p w14:paraId="7459F63E" w14:textId="77777777" w:rsidR="00870092" w:rsidRDefault="00870092" w:rsidP="00870092">
      <w:pPr>
        <w:spacing w:line="240" w:lineRule="auto"/>
        <w:rPr>
          <w:rFonts w:ascii="Helvetica" w:hAnsi="Helvetica" w:cs="Helvetica"/>
          <w:b/>
          <w:u w:val="single"/>
        </w:rPr>
      </w:pPr>
    </w:p>
    <w:p w14:paraId="2CF4F4A2" w14:textId="77777777" w:rsidR="00870092" w:rsidRDefault="00870092" w:rsidP="00870092">
      <w:pPr>
        <w:spacing w:line="240" w:lineRule="auto"/>
        <w:rPr>
          <w:rFonts w:ascii="Helvetica" w:hAnsi="Helvetica" w:cs="Helvetica"/>
          <w:b/>
          <w:u w:val="single"/>
        </w:rPr>
      </w:pPr>
    </w:p>
    <w:p w14:paraId="4C59B242" w14:textId="77777777" w:rsidR="00870092" w:rsidRPr="00D3033E" w:rsidRDefault="00870092" w:rsidP="00870092">
      <w:pPr>
        <w:spacing w:line="240" w:lineRule="auto"/>
        <w:rPr>
          <w:rFonts w:ascii="Helvetica" w:hAnsi="Helvetica" w:cs="Helvetica"/>
          <w:b/>
          <w:u w:val="single"/>
        </w:rPr>
      </w:pPr>
      <w:r w:rsidRPr="00D3033E">
        <w:rPr>
          <w:rFonts w:ascii="Helvetica" w:hAnsi="Helvetica" w:cs="Helvetica"/>
          <w:b/>
          <w:u w:val="single"/>
        </w:rPr>
        <w:t>General Retail Award</w:t>
      </w:r>
    </w:p>
    <w:p w14:paraId="21D792B4" w14:textId="77777777" w:rsidR="0022211B" w:rsidRDefault="0022211B" w:rsidP="00870092">
      <w:pPr>
        <w:pStyle w:val="Default"/>
        <w:rPr>
          <w:rFonts w:ascii="Helvetica" w:hAnsi="Helvetica" w:cs="Helvetica"/>
          <w:bCs/>
          <w:color w:val="auto"/>
          <w:sz w:val="22"/>
          <w:szCs w:val="22"/>
          <w:u w:val="single"/>
        </w:rPr>
      </w:pPr>
    </w:p>
    <w:p w14:paraId="28186BCA" w14:textId="0E244E2B" w:rsidR="00870092" w:rsidRPr="00D3033E" w:rsidRDefault="00870092" w:rsidP="00870092">
      <w:pPr>
        <w:pStyle w:val="Default"/>
        <w:rPr>
          <w:rFonts w:ascii="Helvetica" w:hAnsi="Helvetica" w:cs="Helvetica"/>
          <w:bCs/>
          <w:color w:val="auto"/>
          <w:sz w:val="22"/>
          <w:szCs w:val="22"/>
          <w:u w:val="single"/>
        </w:rPr>
      </w:pPr>
      <w:r w:rsidRPr="00D3033E">
        <w:rPr>
          <w:rFonts w:ascii="Helvetica" w:hAnsi="Helvetica" w:cs="Helvetica"/>
          <w:bCs/>
          <w:color w:val="auto"/>
          <w:sz w:val="22"/>
          <w:szCs w:val="22"/>
          <w:u w:val="single"/>
        </w:rPr>
        <w:t xml:space="preserve">Full-time and part-time employees </w:t>
      </w:r>
    </w:p>
    <w:p w14:paraId="4BEBE7BE" w14:textId="77777777" w:rsidR="00870092" w:rsidRPr="00D3033E" w:rsidRDefault="00870092" w:rsidP="00870092">
      <w:pPr>
        <w:pStyle w:val="Default"/>
        <w:rPr>
          <w:rFonts w:ascii="Helvetica" w:hAnsi="Helvetica" w:cs="Helvetica"/>
          <w:color w:val="auto"/>
          <w:sz w:val="22"/>
          <w:szCs w:val="22"/>
          <w:u w:val="single"/>
        </w:rPr>
      </w:pPr>
    </w:p>
    <w:p w14:paraId="3426492D" w14:textId="0F74AC1A"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200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195 </w:t>
      </w:r>
      <w:r w:rsidRPr="00D3033E">
        <w:rPr>
          <w:rFonts w:ascii="Helvetica" w:hAnsi="Helvetica" w:cs="Helvetica"/>
          <w:color w:val="auto"/>
          <w:sz w:val="22"/>
          <w:szCs w:val="22"/>
        </w:rPr>
        <w:t xml:space="preserve">per cent </w:t>
      </w:r>
    </w:p>
    <w:p w14:paraId="3BD2256E" w14:textId="01166B22"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195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180 </w:t>
      </w:r>
      <w:r w:rsidRPr="00D3033E">
        <w:rPr>
          <w:rFonts w:ascii="Helvetica" w:hAnsi="Helvetica" w:cs="Helvetica"/>
          <w:color w:val="auto"/>
          <w:sz w:val="22"/>
          <w:szCs w:val="22"/>
        </w:rPr>
        <w:t xml:space="preserve">per cent </w:t>
      </w:r>
    </w:p>
    <w:p w14:paraId="07F2BDE3" w14:textId="52051130"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2019 180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165 </w:t>
      </w:r>
      <w:r w:rsidRPr="00D3033E">
        <w:rPr>
          <w:rFonts w:ascii="Helvetica" w:hAnsi="Helvetica" w:cs="Helvetica"/>
          <w:color w:val="auto"/>
          <w:sz w:val="22"/>
          <w:szCs w:val="22"/>
        </w:rPr>
        <w:t xml:space="preserve">per cent </w:t>
      </w:r>
    </w:p>
    <w:p w14:paraId="066B678A" w14:textId="3DDC29B7"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2020 165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150 </w:t>
      </w:r>
      <w:r w:rsidRPr="00D3033E">
        <w:rPr>
          <w:rFonts w:ascii="Helvetica" w:hAnsi="Helvetica" w:cs="Helvetica"/>
          <w:color w:val="auto"/>
          <w:sz w:val="22"/>
          <w:szCs w:val="22"/>
        </w:rPr>
        <w:t xml:space="preserve">per cent </w:t>
      </w:r>
    </w:p>
    <w:p w14:paraId="616FC3D7" w14:textId="77777777" w:rsidR="00870092" w:rsidRPr="00D3033E" w:rsidRDefault="00870092" w:rsidP="00870092">
      <w:pPr>
        <w:pStyle w:val="Default"/>
        <w:rPr>
          <w:rFonts w:ascii="Helvetica" w:hAnsi="Helvetica" w:cs="Helvetica"/>
          <w:b/>
          <w:bCs/>
          <w:color w:val="auto"/>
          <w:sz w:val="22"/>
          <w:szCs w:val="22"/>
        </w:rPr>
      </w:pPr>
    </w:p>
    <w:p w14:paraId="17B8FD7A" w14:textId="77777777" w:rsidR="00870092" w:rsidRPr="00D3033E" w:rsidRDefault="00870092" w:rsidP="00870092">
      <w:pPr>
        <w:pStyle w:val="Default"/>
        <w:rPr>
          <w:rFonts w:ascii="Helvetica" w:hAnsi="Helvetica" w:cs="Helvetica"/>
          <w:bCs/>
          <w:color w:val="auto"/>
          <w:sz w:val="22"/>
          <w:szCs w:val="22"/>
          <w:u w:val="single"/>
        </w:rPr>
      </w:pPr>
      <w:r w:rsidRPr="00D3033E">
        <w:rPr>
          <w:rFonts w:ascii="Helvetica" w:hAnsi="Helvetica" w:cs="Helvetica"/>
          <w:bCs/>
          <w:color w:val="auto"/>
          <w:sz w:val="22"/>
          <w:szCs w:val="22"/>
          <w:u w:val="single"/>
        </w:rPr>
        <w:t xml:space="preserve">Casual employees (inclusive of casual loading) </w:t>
      </w:r>
    </w:p>
    <w:p w14:paraId="2EE0FA27" w14:textId="77777777" w:rsidR="00870092" w:rsidRPr="00D3033E" w:rsidRDefault="00870092" w:rsidP="00870092">
      <w:pPr>
        <w:pStyle w:val="Default"/>
        <w:rPr>
          <w:rFonts w:ascii="Helvetica" w:hAnsi="Helvetica" w:cs="Helvetica"/>
          <w:color w:val="auto"/>
          <w:sz w:val="22"/>
          <w:szCs w:val="22"/>
        </w:rPr>
      </w:pPr>
    </w:p>
    <w:p w14:paraId="07E972ED" w14:textId="370D78DF"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200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195 </w:t>
      </w:r>
      <w:r w:rsidRPr="00D3033E">
        <w:rPr>
          <w:rFonts w:ascii="Helvetica" w:hAnsi="Helvetica" w:cs="Helvetica"/>
          <w:color w:val="auto"/>
          <w:sz w:val="22"/>
          <w:szCs w:val="22"/>
        </w:rPr>
        <w:t xml:space="preserve">per cent </w:t>
      </w:r>
    </w:p>
    <w:p w14:paraId="21EAAFE3" w14:textId="09EF4383"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195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185 </w:t>
      </w:r>
      <w:r w:rsidRPr="00D3033E">
        <w:rPr>
          <w:rFonts w:ascii="Helvetica" w:hAnsi="Helvetica" w:cs="Helvetica"/>
          <w:color w:val="auto"/>
          <w:sz w:val="22"/>
          <w:szCs w:val="22"/>
        </w:rPr>
        <w:t xml:space="preserve">per cent </w:t>
      </w:r>
    </w:p>
    <w:p w14:paraId="436A5D60" w14:textId="316B5217" w:rsidR="00870092" w:rsidRPr="00D3033E" w:rsidRDefault="00870092" w:rsidP="00870092">
      <w:pPr>
        <w:spacing w:line="240" w:lineRule="auto"/>
        <w:rPr>
          <w:rFonts w:ascii="Helvetica" w:hAnsi="Helvetica" w:cs="Helvetica"/>
        </w:rPr>
      </w:pPr>
      <w:r w:rsidRPr="00D3033E">
        <w:rPr>
          <w:rFonts w:ascii="Helvetica" w:hAnsi="Helvetica" w:cs="Helvetica"/>
        </w:rPr>
        <w:t xml:space="preserve">1 July 2019 185 per cent </w:t>
      </w:r>
      <w:r w:rsidR="006A48A5" w:rsidRPr="006A48A5">
        <w:rPr>
          <w:rFonts w:ascii="Helvetica" w:hAnsi="Helvetica" w:cs="Helvetica"/>
          <w:sz w:val="22"/>
          <w:szCs w:val="22"/>
        </w:rPr>
        <w:sym w:font="Wingdings" w:char="F0E0"/>
      </w:r>
      <w:r w:rsidRPr="00D3033E">
        <w:rPr>
          <w:rFonts w:ascii="Helvetica" w:hAnsi="Helvetica" w:cs="Helvetica"/>
          <w:b/>
          <w:bCs/>
        </w:rPr>
        <w:t xml:space="preserve">175 </w:t>
      </w:r>
      <w:r w:rsidRPr="00D3033E">
        <w:rPr>
          <w:rFonts w:ascii="Helvetica" w:hAnsi="Helvetica" w:cs="Helvetica"/>
        </w:rPr>
        <w:t>per cent</w:t>
      </w:r>
    </w:p>
    <w:p w14:paraId="0330F411" w14:textId="77777777" w:rsidR="0022211B" w:rsidRDefault="0022211B" w:rsidP="00870092">
      <w:pPr>
        <w:spacing w:line="240" w:lineRule="auto"/>
        <w:rPr>
          <w:rFonts w:ascii="Helvetica" w:hAnsi="Helvetica" w:cs="Helvetica"/>
          <w:b/>
          <w:u w:val="single"/>
        </w:rPr>
      </w:pPr>
    </w:p>
    <w:p w14:paraId="628CF168" w14:textId="6623B704" w:rsidR="00870092" w:rsidRPr="00D3033E" w:rsidRDefault="00870092" w:rsidP="00870092">
      <w:pPr>
        <w:spacing w:line="240" w:lineRule="auto"/>
        <w:rPr>
          <w:rFonts w:ascii="Helvetica" w:hAnsi="Helvetica" w:cs="Helvetica"/>
          <w:b/>
          <w:u w:val="single"/>
        </w:rPr>
      </w:pPr>
      <w:r w:rsidRPr="00D3033E">
        <w:rPr>
          <w:rFonts w:ascii="Helvetica" w:hAnsi="Helvetica" w:cs="Helvetica"/>
          <w:b/>
          <w:u w:val="single"/>
        </w:rPr>
        <w:t>Pharmacy Award</w:t>
      </w:r>
    </w:p>
    <w:p w14:paraId="634FDE58" w14:textId="77777777" w:rsidR="0022211B" w:rsidRDefault="0022211B" w:rsidP="00870092">
      <w:pPr>
        <w:pStyle w:val="Default"/>
        <w:rPr>
          <w:rFonts w:ascii="Helvetica" w:hAnsi="Helvetica" w:cs="Helvetica"/>
          <w:bCs/>
          <w:color w:val="auto"/>
          <w:sz w:val="22"/>
          <w:szCs w:val="22"/>
          <w:u w:val="single"/>
        </w:rPr>
      </w:pPr>
    </w:p>
    <w:p w14:paraId="54161233" w14:textId="080FDAF7" w:rsidR="00870092" w:rsidRPr="00D3033E" w:rsidRDefault="00870092" w:rsidP="00870092">
      <w:pPr>
        <w:pStyle w:val="Default"/>
        <w:rPr>
          <w:rFonts w:ascii="Helvetica" w:hAnsi="Helvetica" w:cs="Helvetica"/>
          <w:bCs/>
          <w:color w:val="auto"/>
          <w:sz w:val="22"/>
          <w:szCs w:val="22"/>
          <w:u w:val="single"/>
        </w:rPr>
      </w:pPr>
      <w:r w:rsidRPr="00D3033E">
        <w:rPr>
          <w:rFonts w:ascii="Helvetica" w:hAnsi="Helvetica" w:cs="Helvetica"/>
          <w:bCs/>
          <w:color w:val="auto"/>
          <w:sz w:val="22"/>
          <w:szCs w:val="22"/>
          <w:u w:val="single"/>
        </w:rPr>
        <w:t xml:space="preserve">Full-time and part-time employees </w:t>
      </w:r>
    </w:p>
    <w:p w14:paraId="6DC50C2F" w14:textId="77777777" w:rsidR="00870092" w:rsidRPr="00D3033E" w:rsidRDefault="00870092" w:rsidP="00870092">
      <w:pPr>
        <w:pStyle w:val="Default"/>
        <w:rPr>
          <w:rFonts w:ascii="Helvetica" w:hAnsi="Helvetica" w:cs="Helvetica"/>
          <w:color w:val="auto"/>
          <w:sz w:val="22"/>
          <w:szCs w:val="22"/>
        </w:rPr>
      </w:pPr>
    </w:p>
    <w:p w14:paraId="3B71693A" w14:textId="280BB8E8"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200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195 </w:t>
      </w:r>
      <w:r w:rsidRPr="00D3033E">
        <w:rPr>
          <w:rFonts w:ascii="Helvetica" w:hAnsi="Helvetica" w:cs="Helvetica"/>
          <w:color w:val="auto"/>
          <w:sz w:val="22"/>
          <w:szCs w:val="22"/>
        </w:rPr>
        <w:t xml:space="preserve">per cent </w:t>
      </w:r>
    </w:p>
    <w:p w14:paraId="08DE9D2E" w14:textId="6759F46E"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195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180 </w:t>
      </w:r>
      <w:r w:rsidRPr="00D3033E">
        <w:rPr>
          <w:rFonts w:ascii="Helvetica" w:hAnsi="Helvetica" w:cs="Helvetica"/>
          <w:color w:val="auto"/>
          <w:sz w:val="22"/>
          <w:szCs w:val="22"/>
        </w:rPr>
        <w:t xml:space="preserve">per cent </w:t>
      </w:r>
    </w:p>
    <w:p w14:paraId="5F40AFA5" w14:textId="6E6BEEA5"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2019 180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165 </w:t>
      </w:r>
      <w:r w:rsidRPr="00D3033E">
        <w:rPr>
          <w:rFonts w:ascii="Helvetica" w:hAnsi="Helvetica" w:cs="Helvetica"/>
          <w:color w:val="auto"/>
          <w:sz w:val="22"/>
          <w:szCs w:val="22"/>
        </w:rPr>
        <w:t xml:space="preserve">per cent </w:t>
      </w:r>
    </w:p>
    <w:p w14:paraId="4F9F4726" w14:textId="0324CC2F"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2020 165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150 </w:t>
      </w:r>
      <w:r w:rsidRPr="00D3033E">
        <w:rPr>
          <w:rFonts w:ascii="Helvetica" w:hAnsi="Helvetica" w:cs="Helvetica"/>
          <w:color w:val="auto"/>
          <w:sz w:val="22"/>
          <w:szCs w:val="22"/>
        </w:rPr>
        <w:t xml:space="preserve">per cent </w:t>
      </w:r>
    </w:p>
    <w:p w14:paraId="2C796076" w14:textId="77777777" w:rsidR="00870092" w:rsidRPr="00D3033E" w:rsidRDefault="00870092" w:rsidP="00870092">
      <w:pPr>
        <w:pStyle w:val="Default"/>
        <w:rPr>
          <w:rFonts w:ascii="Helvetica" w:hAnsi="Helvetica" w:cs="Helvetica"/>
          <w:color w:val="auto"/>
          <w:sz w:val="22"/>
          <w:szCs w:val="22"/>
        </w:rPr>
      </w:pPr>
    </w:p>
    <w:p w14:paraId="477658AC" w14:textId="77777777" w:rsidR="00870092" w:rsidRPr="00D3033E" w:rsidRDefault="00870092" w:rsidP="00870092">
      <w:pPr>
        <w:pStyle w:val="Default"/>
        <w:rPr>
          <w:rFonts w:ascii="Helvetica" w:hAnsi="Helvetica" w:cs="Helvetica"/>
          <w:bCs/>
          <w:color w:val="auto"/>
          <w:sz w:val="22"/>
          <w:szCs w:val="22"/>
          <w:u w:val="single"/>
        </w:rPr>
      </w:pPr>
      <w:r w:rsidRPr="00D3033E">
        <w:rPr>
          <w:rFonts w:ascii="Helvetica" w:hAnsi="Helvetica" w:cs="Helvetica"/>
          <w:bCs/>
          <w:color w:val="auto"/>
          <w:sz w:val="22"/>
          <w:szCs w:val="22"/>
          <w:u w:val="single"/>
        </w:rPr>
        <w:t xml:space="preserve">Casual employees (inclusive of casual loading) </w:t>
      </w:r>
    </w:p>
    <w:p w14:paraId="2234951B" w14:textId="77777777" w:rsidR="00870092" w:rsidRPr="00D3033E" w:rsidRDefault="00870092" w:rsidP="00870092">
      <w:pPr>
        <w:pStyle w:val="Default"/>
        <w:rPr>
          <w:rFonts w:ascii="Helvetica" w:hAnsi="Helvetica" w:cs="Helvetica"/>
          <w:color w:val="auto"/>
          <w:sz w:val="22"/>
          <w:szCs w:val="22"/>
          <w:u w:val="single"/>
        </w:rPr>
      </w:pPr>
    </w:p>
    <w:p w14:paraId="5648DF62" w14:textId="3374FFAE"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2017 225 per cent </w:t>
      </w:r>
      <w:r w:rsidR="006A48A5" w:rsidRPr="006A48A5">
        <w:rPr>
          <w:rFonts w:ascii="Helvetica" w:hAnsi="Helvetica" w:cs="Helvetica"/>
          <w:color w:val="auto"/>
          <w:sz w:val="22"/>
          <w:szCs w:val="22"/>
        </w:rPr>
        <w:sym w:font="Wingdings" w:char="F0E0"/>
      </w:r>
      <w:r w:rsidR="006A48A5">
        <w:rPr>
          <w:rFonts w:ascii="Helvetica" w:hAnsi="Helvetica" w:cs="Helvetica"/>
          <w:color w:val="auto"/>
          <w:sz w:val="22"/>
          <w:szCs w:val="22"/>
        </w:rPr>
        <w:t xml:space="preserve"> </w:t>
      </w:r>
      <w:r w:rsidRPr="00D3033E">
        <w:rPr>
          <w:rFonts w:ascii="Helvetica" w:hAnsi="Helvetica" w:cs="Helvetica"/>
          <w:b/>
          <w:bCs/>
          <w:color w:val="auto"/>
          <w:sz w:val="22"/>
          <w:szCs w:val="22"/>
        </w:rPr>
        <w:t xml:space="preserve">220 </w:t>
      </w:r>
      <w:r w:rsidRPr="00D3033E">
        <w:rPr>
          <w:rFonts w:ascii="Helvetica" w:hAnsi="Helvetica" w:cs="Helvetica"/>
          <w:color w:val="auto"/>
          <w:sz w:val="22"/>
          <w:szCs w:val="22"/>
        </w:rPr>
        <w:t xml:space="preserve">per cent </w:t>
      </w:r>
    </w:p>
    <w:p w14:paraId="44AEA3BE" w14:textId="3597FA53"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2018 220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205 </w:t>
      </w:r>
      <w:r w:rsidRPr="00D3033E">
        <w:rPr>
          <w:rFonts w:ascii="Helvetica" w:hAnsi="Helvetica" w:cs="Helvetica"/>
          <w:color w:val="auto"/>
          <w:sz w:val="22"/>
          <w:szCs w:val="22"/>
        </w:rPr>
        <w:t xml:space="preserve">per cent </w:t>
      </w:r>
    </w:p>
    <w:p w14:paraId="7ACC9480" w14:textId="7E663BC0" w:rsidR="00870092" w:rsidRPr="00D3033E" w:rsidRDefault="00870092" w:rsidP="00870092">
      <w:pPr>
        <w:pStyle w:val="Default"/>
        <w:rPr>
          <w:rFonts w:ascii="Helvetica" w:hAnsi="Helvetica" w:cs="Helvetica"/>
          <w:color w:val="auto"/>
          <w:sz w:val="22"/>
          <w:szCs w:val="22"/>
        </w:rPr>
      </w:pPr>
      <w:r w:rsidRPr="00D3033E">
        <w:rPr>
          <w:rFonts w:ascii="Helvetica" w:hAnsi="Helvetica" w:cs="Helvetica"/>
          <w:color w:val="auto"/>
          <w:sz w:val="22"/>
          <w:szCs w:val="22"/>
        </w:rPr>
        <w:t xml:space="preserve">1 July 2019 205 per cent </w:t>
      </w:r>
      <w:r w:rsidR="006A48A5" w:rsidRPr="006A48A5">
        <w:rPr>
          <w:rFonts w:ascii="Helvetica" w:hAnsi="Helvetica" w:cs="Helvetica"/>
          <w:color w:val="auto"/>
          <w:sz w:val="22"/>
          <w:szCs w:val="22"/>
        </w:rPr>
        <w:sym w:font="Wingdings" w:char="F0E0"/>
      </w:r>
      <w:r w:rsidRPr="00D3033E">
        <w:rPr>
          <w:rFonts w:ascii="Helvetica" w:hAnsi="Helvetica" w:cs="Helvetica"/>
          <w:b/>
          <w:bCs/>
          <w:color w:val="auto"/>
          <w:sz w:val="22"/>
          <w:szCs w:val="22"/>
        </w:rPr>
        <w:t xml:space="preserve">190 </w:t>
      </w:r>
      <w:r w:rsidRPr="00D3033E">
        <w:rPr>
          <w:rFonts w:ascii="Helvetica" w:hAnsi="Helvetica" w:cs="Helvetica"/>
          <w:color w:val="auto"/>
          <w:sz w:val="22"/>
          <w:szCs w:val="22"/>
        </w:rPr>
        <w:t xml:space="preserve">per cent </w:t>
      </w:r>
    </w:p>
    <w:p w14:paraId="1569E298" w14:textId="66D18498" w:rsidR="00870092" w:rsidRPr="00D3033E" w:rsidRDefault="00870092" w:rsidP="00870092">
      <w:pPr>
        <w:spacing w:line="240" w:lineRule="auto"/>
        <w:rPr>
          <w:rFonts w:ascii="Helvetica" w:hAnsi="Helvetica" w:cs="Helvetica"/>
        </w:rPr>
      </w:pPr>
      <w:r w:rsidRPr="00D3033E">
        <w:rPr>
          <w:rFonts w:ascii="Helvetica" w:hAnsi="Helvetica" w:cs="Helvetica"/>
        </w:rPr>
        <w:t xml:space="preserve">1 July 2020 190 per cent </w:t>
      </w:r>
      <w:r w:rsidR="006A48A5" w:rsidRPr="006A48A5">
        <w:rPr>
          <w:rFonts w:ascii="Helvetica" w:hAnsi="Helvetica" w:cs="Helvetica"/>
          <w:sz w:val="22"/>
          <w:szCs w:val="22"/>
        </w:rPr>
        <w:sym w:font="Wingdings" w:char="F0E0"/>
      </w:r>
      <w:r w:rsidRPr="00D3033E">
        <w:rPr>
          <w:rFonts w:ascii="Helvetica" w:hAnsi="Helvetica" w:cs="Helvetica"/>
          <w:b/>
          <w:bCs/>
        </w:rPr>
        <w:t xml:space="preserve">175 </w:t>
      </w:r>
      <w:r w:rsidRPr="00D3033E">
        <w:rPr>
          <w:rFonts w:ascii="Helvetica" w:hAnsi="Helvetica" w:cs="Helvetica"/>
        </w:rPr>
        <w:t>per cent</w:t>
      </w:r>
    </w:p>
    <w:p w14:paraId="63D9EAA0" w14:textId="77777777" w:rsidR="0022211B" w:rsidRDefault="0022211B" w:rsidP="00870092">
      <w:pPr>
        <w:spacing w:line="240" w:lineRule="auto"/>
        <w:rPr>
          <w:rFonts w:ascii="Helvetica" w:hAnsi="Helvetica" w:cs="Helvetica"/>
        </w:rPr>
      </w:pPr>
    </w:p>
    <w:p w14:paraId="1A26B0DF" w14:textId="0A11B1AD" w:rsidR="00870092" w:rsidRPr="00D3033E" w:rsidRDefault="00870092" w:rsidP="00870092">
      <w:pPr>
        <w:spacing w:line="240" w:lineRule="auto"/>
        <w:rPr>
          <w:rFonts w:ascii="Helvetica" w:hAnsi="Helvetica" w:cs="Helvetica"/>
        </w:rPr>
      </w:pPr>
      <w:r w:rsidRPr="00D3033E">
        <w:rPr>
          <w:rFonts w:ascii="Helvetica" w:hAnsi="Helvetica" w:cs="Helvetica"/>
        </w:rPr>
        <w:t>No transition occur</w:t>
      </w:r>
      <w:r>
        <w:rPr>
          <w:rFonts w:ascii="Helvetica" w:hAnsi="Helvetica" w:cs="Helvetica"/>
        </w:rPr>
        <w:t>red</w:t>
      </w:r>
      <w:r w:rsidRPr="00D3033E">
        <w:rPr>
          <w:rFonts w:ascii="Helvetica" w:hAnsi="Helvetica" w:cs="Helvetica"/>
        </w:rPr>
        <w:t xml:space="preserve"> for the Public Holiday Rate decrease</w:t>
      </w:r>
      <w:r>
        <w:rPr>
          <w:rFonts w:ascii="Helvetica" w:hAnsi="Helvetica" w:cs="Helvetica"/>
        </w:rPr>
        <w:t xml:space="preserve"> from 250% to 225%</w:t>
      </w:r>
      <w:r w:rsidRPr="00D3033E">
        <w:rPr>
          <w:rFonts w:ascii="Helvetica" w:hAnsi="Helvetica" w:cs="Helvetica"/>
        </w:rPr>
        <w:t>.</w:t>
      </w:r>
    </w:p>
    <w:p w14:paraId="12C6891C" w14:textId="4C07B23A" w:rsidR="0030524B" w:rsidRDefault="0030524B">
      <w:pPr>
        <w:rPr>
          <w:rFonts w:ascii="Helvetica" w:hAnsi="Helvetica" w:cs="Helvetica"/>
        </w:rPr>
      </w:pPr>
    </w:p>
    <w:p w14:paraId="2F73138C" w14:textId="4528C949" w:rsidR="007F4C1B" w:rsidRPr="0091798D" w:rsidRDefault="00B63986" w:rsidP="0091798D">
      <w:pPr>
        <w:rPr>
          <w:rFonts w:ascii="Helvetica" w:hAnsi="Helvetica" w:cs="Helvetica"/>
        </w:rPr>
      </w:pPr>
      <w:r>
        <w:rPr>
          <w:rFonts w:ascii="Helvetica" w:hAnsi="Helvetica" w:cs="Helvetica"/>
        </w:rPr>
        <w:t xml:space="preserve">As set out in the schedule above, </w:t>
      </w:r>
      <w:r w:rsidR="00F11ACC">
        <w:rPr>
          <w:rFonts w:ascii="Helvetica" w:hAnsi="Helvetica" w:cs="Helvetica"/>
        </w:rPr>
        <w:t xml:space="preserve">permanent </w:t>
      </w:r>
      <w:r>
        <w:rPr>
          <w:rFonts w:ascii="Helvetica" w:hAnsi="Helvetica" w:cs="Helvetica"/>
        </w:rPr>
        <w:t xml:space="preserve">employees in the </w:t>
      </w:r>
      <w:r w:rsidR="00A956DE">
        <w:rPr>
          <w:rFonts w:ascii="Helvetica" w:hAnsi="Helvetica" w:cs="Helvetica"/>
        </w:rPr>
        <w:t>r</w:t>
      </w:r>
      <w:r>
        <w:rPr>
          <w:rFonts w:ascii="Helvetica" w:hAnsi="Helvetica" w:cs="Helvetica"/>
        </w:rPr>
        <w:t xml:space="preserve">etail industry </w:t>
      </w:r>
      <w:r w:rsidR="00A956DE">
        <w:rPr>
          <w:rFonts w:ascii="Helvetica" w:hAnsi="Helvetica" w:cs="Helvetica"/>
        </w:rPr>
        <w:t xml:space="preserve">will suffer </w:t>
      </w:r>
      <w:r w:rsidR="00E626F6">
        <w:rPr>
          <w:rFonts w:ascii="Helvetica" w:hAnsi="Helvetica" w:cs="Helvetica"/>
        </w:rPr>
        <w:t>a further 15% reduction to their Sunday hourly rate on 1 July 2020.</w:t>
      </w:r>
      <w:bookmarkStart w:id="1" w:name="_Toc34401758"/>
      <w:bookmarkStart w:id="2" w:name="_Toc34401756"/>
    </w:p>
    <w:bookmarkEnd w:id="1"/>
    <w:bookmarkEnd w:id="2"/>
    <w:p w14:paraId="4861A054" w14:textId="120CFD6E" w:rsidR="00FE03EC" w:rsidRPr="00E751CF" w:rsidRDefault="00687595" w:rsidP="00E751CF">
      <w:pPr>
        <w:pStyle w:val="Heading1"/>
      </w:pPr>
      <w:r w:rsidRPr="00E751CF">
        <w:t xml:space="preserve">Wages in SDA covered sectors central to national aggregate demand </w:t>
      </w:r>
    </w:p>
    <w:p w14:paraId="6EE53CE4" w14:textId="67780285" w:rsidR="00687595" w:rsidRPr="00C121D0" w:rsidRDefault="00687595" w:rsidP="0030524B">
      <w:pPr>
        <w:rPr>
          <w:rFonts w:ascii="Helvetica" w:hAnsi="Helvetica"/>
        </w:rPr>
      </w:pPr>
      <w:r w:rsidRPr="00C121D0">
        <w:rPr>
          <w:rFonts w:ascii="Helvetica" w:hAnsi="Helvetica"/>
        </w:rPr>
        <w:t xml:space="preserve">The SDA covers workers in </w:t>
      </w:r>
      <w:r w:rsidR="00875FA4" w:rsidRPr="00C121D0">
        <w:rPr>
          <w:rFonts w:ascii="Helvetica" w:hAnsi="Helvetica"/>
        </w:rPr>
        <w:t>t</w:t>
      </w:r>
      <w:r w:rsidRPr="00C121D0">
        <w:rPr>
          <w:rFonts w:ascii="Helvetica" w:hAnsi="Helvetica"/>
        </w:rPr>
        <w:t xml:space="preserve">he retail, fast food and warehousing sectors. Collectively, this cohort of the labour market constitutes over 2.5 million workers, or around one fifth of the Australian labour market. In the retail sector alone, 1.25 million Australians are employed, constituting around 10 per cent of the Australian labour market. Therefore, it is clear that the </w:t>
      </w:r>
      <w:r w:rsidR="00FE03EC" w:rsidRPr="00C121D0">
        <w:rPr>
          <w:rFonts w:ascii="Helvetica" w:hAnsi="Helvetica"/>
        </w:rPr>
        <w:t xml:space="preserve">decisions impacting the livelihoods of workers in these </w:t>
      </w:r>
      <w:r w:rsidR="00FE03EC" w:rsidRPr="00C121D0">
        <w:rPr>
          <w:rFonts w:ascii="Helvetica" w:hAnsi="Helvetica"/>
        </w:rPr>
        <w:lastRenderedPageBreak/>
        <w:t xml:space="preserve">industries plays an outsized role in shaping aggregate demand throughout the Australian economy. </w:t>
      </w:r>
    </w:p>
    <w:p w14:paraId="34624315" w14:textId="77777777" w:rsidR="00687595" w:rsidRPr="00C121D0" w:rsidRDefault="00687595" w:rsidP="0030524B">
      <w:pPr>
        <w:rPr>
          <w:rFonts w:ascii="Helvetica" w:hAnsi="Helvetica"/>
        </w:rPr>
      </w:pPr>
    </w:p>
    <w:p w14:paraId="2C8931A3" w14:textId="76412ECD" w:rsidR="00FE03EC" w:rsidRPr="00C121D0" w:rsidRDefault="00FE03EC" w:rsidP="0030524B">
      <w:pPr>
        <w:rPr>
          <w:rFonts w:ascii="Helvetica" w:hAnsi="Helvetica"/>
        </w:rPr>
      </w:pPr>
      <w:r w:rsidRPr="00C121D0">
        <w:rPr>
          <w:rFonts w:ascii="Helvetica" w:hAnsi="Helvetica"/>
        </w:rPr>
        <w:t xml:space="preserve">Demand has been modest in the retail sectors over recent years, as a result of a confluence of economic trends and policy decisions that have diminished the purchasing power of the Australian consumer. Wages are barely growing above CPI, billions are being removed from the back-pockets of workers due to wage theft, and for many, including workers in SDA covered sectors, a reduction in penalty rates for three successive years has resulted in a real </w:t>
      </w:r>
      <w:r w:rsidR="008333F2">
        <w:rPr>
          <w:rFonts w:ascii="Helvetica" w:hAnsi="Helvetica"/>
        </w:rPr>
        <w:t>loss</w:t>
      </w:r>
      <w:r w:rsidRPr="00C121D0">
        <w:rPr>
          <w:rFonts w:ascii="Helvetica" w:hAnsi="Helvetica"/>
        </w:rPr>
        <w:t xml:space="preserve"> in take home pay.  The macro-economic impacts of these phenomena cannot be ignored</w:t>
      </w:r>
      <w:r w:rsidR="00E751CF" w:rsidRPr="00C121D0">
        <w:rPr>
          <w:rFonts w:ascii="Helvetica" w:hAnsi="Helvetica"/>
        </w:rPr>
        <w:t xml:space="preserve"> when setting NMWOs. It is important that this is taken into consideration – especially when considering alternative proposals, such as those put forward by the National Retail Association, to delay any minimum wage rise for workers in areas impacted by bushfires (which can be pinpointed to specific post-codes) or Coronavirus (the entire national economy). </w:t>
      </w:r>
    </w:p>
    <w:p w14:paraId="4DCF085D" w14:textId="77777777" w:rsidR="00FE03EC" w:rsidRPr="00C121D0" w:rsidRDefault="00FE03EC" w:rsidP="0030524B">
      <w:pPr>
        <w:rPr>
          <w:rFonts w:ascii="Helvetica" w:hAnsi="Helvetica"/>
        </w:rPr>
      </w:pPr>
    </w:p>
    <w:p w14:paraId="52A6B61E" w14:textId="2EAEBC78" w:rsidR="006E3B88" w:rsidRPr="00C121D0" w:rsidRDefault="00E751CF" w:rsidP="0030524B">
      <w:pPr>
        <w:rPr>
          <w:rFonts w:ascii="Helvetica" w:hAnsi="Helvetica"/>
        </w:rPr>
      </w:pPr>
      <w:r w:rsidRPr="00C121D0">
        <w:rPr>
          <w:rFonts w:ascii="Helvetica" w:hAnsi="Helvetica"/>
        </w:rPr>
        <w:t xml:space="preserve">Lowering the pay of those within the retail sector doesn’t only impact their immediate livelihoods, but poses a threat to the health of their employers. </w:t>
      </w:r>
      <w:r w:rsidR="0030524B" w:rsidRPr="00C121D0">
        <w:rPr>
          <w:rFonts w:ascii="Helvetica" w:hAnsi="Helvetica"/>
        </w:rPr>
        <w:t xml:space="preserve">For those already employed in the sector, lower demand can result in fewer hours and a lower overall income – itself then resulting in less demand nationally. </w:t>
      </w:r>
    </w:p>
    <w:p w14:paraId="0081215D" w14:textId="7A02561A" w:rsidR="009F06F7" w:rsidRDefault="009F06F7" w:rsidP="0030524B">
      <w:pPr>
        <w:rPr>
          <w:rFonts w:ascii="Helvetica" w:hAnsi="Helvetica"/>
          <w:sz w:val="22"/>
          <w:szCs w:val="22"/>
        </w:rPr>
      </w:pPr>
    </w:p>
    <w:p w14:paraId="46AE1809" w14:textId="1FDCDD06" w:rsidR="009F06F7" w:rsidRDefault="009F06F7" w:rsidP="0030524B">
      <w:pPr>
        <w:rPr>
          <w:rFonts w:ascii="Helvetica" w:hAnsi="Helvetica"/>
          <w:sz w:val="22"/>
          <w:szCs w:val="22"/>
        </w:rPr>
      </w:pPr>
    </w:p>
    <w:p w14:paraId="6E0B0E69" w14:textId="77777777" w:rsidR="009F06F7" w:rsidRPr="00E751CF" w:rsidRDefault="009F06F7" w:rsidP="008333F2">
      <w:pPr>
        <w:keepNext/>
        <w:jc w:val="center"/>
        <w:rPr>
          <w:rFonts w:ascii="Helvetica" w:hAnsi="Helvetica"/>
        </w:rPr>
      </w:pPr>
      <w:r w:rsidRPr="00E751CF">
        <w:rPr>
          <w:rFonts w:ascii="Helvetica" w:hAnsi="Helvetica"/>
          <w:noProof/>
        </w:rPr>
        <w:drawing>
          <wp:inline distT="0" distB="0" distL="0" distR="0" wp14:anchorId="39AD3B22" wp14:editId="6EEC9AA0">
            <wp:extent cx="4885855" cy="2817628"/>
            <wp:effectExtent l="0" t="0" r="16510" b="14605"/>
            <wp:docPr id="2" name="Chart 2">
              <a:extLst xmlns:a="http://schemas.openxmlformats.org/drawingml/2006/main">
                <a:ext uri="{FF2B5EF4-FFF2-40B4-BE49-F238E27FC236}">
                  <a16:creationId xmlns:a16="http://schemas.microsoft.com/office/drawing/2014/main" id="{C1A10150-E7EA-A842-B54C-895562BD5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34CD1A" w14:textId="1CC8B200" w:rsidR="009F06F7" w:rsidRPr="00E751CF" w:rsidRDefault="009F06F7" w:rsidP="009F06F7">
      <w:pPr>
        <w:pStyle w:val="Caption"/>
        <w:rPr>
          <w:rFonts w:ascii="Helvetica" w:hAnsi="Helvetica"/>
        </w:rPr>
      </w:pPr>
      <w:r w:rsidRPr="00E751CF">
        <w:rPr>
          <w:rFonts w:ascii="Helvetica" w:hAnsi="Helvetica"/>
        </w:rPr>
        <w:t xml:space="preserve">Figure </w:t>
      </w:r>
      <w:r w:rsidR="00751D46">
        <w:rPr>
          <w:rFonts w:ascii="Helvetica" w:hAnsi="Helvetica"/>
        </w:rPr>
        <w:t>2</w:t>
      </w:r>
      <w:r w:rsidRPr="00E751CF">
        <w:rPr>
          <w:rFonts w:ascii="Helvetica" w:hAnsi="Helvetica"/>
        </w:rPr>
        <w:t xml:space="preserve">: Wage Price Index vs Consumer Price Index, 2009-2019. </w:t>
      </w:r>
      <w:r w:rsidR="00751D46">
        <w:rPr>
          <w:rFonts w:ascii="Helvetica" w:hAnsi="Helvetica"/>
        </w:rPr>
        <w:t>Source: ABS Cat. 6345.0</w:t>
      </w:r>
      <w:r w:rsidR="000B6D31">
        <w:rPr>
          <w:rStyle w:val="EndnoteReference"/>
          <w:rFonts w:ascii="Helvetica" w:hAnsi="Helvetica"/>
        </w:rPr>
        <w:endnoteReference w:id="2"/>
      </w:r>
      <w:r w:rsidR="00751D46">
        <w:rPr>
          <w:rFonts w:ascii="Helvetica" w:hAnsi="Helvetica"/>
        </w:rPr>
        <w:t>, ABS Cat. 6401.0</w:t>
      </w:r>
      <w:r w:rsidR="000B6D31">
        <w:rPr>
          <w:rStyle w:val="EndnoteReference"/>
          <w:rFonts w:ascii="Helvetica" w:hAnsi="Helvetica"/>
        </w:rPr>
        <w:endnoteReference w:id="3"/>
      </w:r>
      <w:r w:rsidR="00751D46">
        <w:rPr>
          <w:rFonts w:ascii="Helvetica" w:hAnsi="Helvetica"/>
        </w:rPr>
        <w:t xml:space="preserve">. </w:t>
      </w:r>
    </w:p>
    <w:p w14:paraId="7717FB27" w14:textId="77777777" w:rsidR="009F06F7" w:rsidRPr="00E751CF" w:rsidRDefault="009F06F7" w:rsidP="0030524B">
      <w:pPr>
        <w:rPr>
          <w:rFonts w:ascii="Helvetica" w:hAnsi="Helvetica"/>
          <w:sz w:val="22"/>
          <w:szCs w:val="22"/>
        </w:rPr>
      </w:pPr>
    </w:p>
    <w:p w14:paraId="4A01FD37" w14:textId="77777777" w:rsidR="006E3B88" w:rsidRPr="00E751CF" w:rsidRDefault="006E3B88" w:rsidP="0030524B">
      <w:pPr>
        <w:rPr>
          <w:rFonts w:ascii="Helvetica" w:hAnsi="Helvetica"/>
          <w:sz w:val="22"/>
          <w:szCs w:val="22"/>
        </w:rPr>
      </w:pPr>
    </w:p>
    <w:p w14:paraId="40C57497" w14:textId="7B9B85A0" w:rsidR="0030524B" w:rsidRPr="00C121D0" w:rsidRDefault="0030524B" w:rsidP="0030524B">
      <w:pPr>
        <w:rPr>
          <w:rFonts w:ascii="Helvetica" w:hAnsi="Helvetica"/>
        </w:rPr>
      </w:pPr>
      <w:r w:rsidRPr="00C121D0">
        <w:rPr>
          <w:rFonts w:ascii="Helvetica" w:hAnsi="Helvetica"/>
        </w:rPr>
        <w:t>Since 2017, hundreds of thousands of retail workers have been subjected to reduced penalty rates, directly costing individual workers hundreds of dollars every year. The imposition of penalty rate reductions also occurred during the middle of an extended period of wage-stagnation. The flat lining of Australian wages over the past decade is undeniable. While wages are nominally increasing, the pace of that increase is not outstripping the price of goods and services in the economy. The Wage Price Index, which measures wage growth, has grown in parallel with the Consumer Price Index</w:t>
      </w:r>
      <w:r w:rsidR="00E751CF" w:rsidRPr="00C121D0">
        <w:rPr>
          <w:rFonts w:ascii="Helvetica" w:hAnsi="Helvetica"/>
        </w:rPr>
        <w:t xml:space="preserve"> (Figure </w:t>
      </w:r>
      <w:r w:rsidR="00F11ACC">
        <w:rPr>
          <w:rFonts w:ascii="Helvetica" w:hAnsi="Helvetica"/>
        </w:rPr>
        <w:t>2</w:t>
      </w:r>
      <w:r w:rsidR="00E751CF" w:rsidRPr="00C121D0">
        <w:rPr>
          <w:rFonts w:ascii="Helvetica" w:hAnsi="Helvetica"/>
        </w:rPr>
        <w:t>)</w:t>
      </w:r>
      <w:r w:rsidRPr="00C121D0">
        <w:rPr>
          <w:rFonts w:ascii="Helvetica" w:hAnsi="Helvetica"/>
        </w:rPr>
        <w:t xml:space="preserve"> which measures the price of goods and services in the economy. Translated into the experience of a typical Australian household, it simply means most consumers feel like they aren’t ‘getting ahead’, with many seeing no real increase in standards of living.  This fundamentally limits the willingness of the Australian public to consume, directly impacting the opportunities and livelihoods of SDA members, and retail trade sector workers more broadly. </w:t>
      </w:r>
    </w:p>
    <w:p w14:paraId="50AA46FA" w14:textId="77777777" w:rsidR="00E751CF" w:rsidRDefault="00E751CF" w:rsidP="00E751CF">
      <w:pPr>
        <w:pStyle w:val="Heading1"/>
      </w:pPr>
      <w:bookmarkStart w:id="3" w:name="_Toc34401759"/>
    </w:p>
    <w:p w14:paraId="716A899B" w14:textId="658077DF" w:rsidR="0030524B" w:rsidRPr="00E751CF" w:rsidRDefault="0030524B" w:rsidP="00E751CF">
      <w:pPr>
        <w:pStyle w:val="Heading1"/>
      </w:pPr>
      <w:r w:rsidRPr="00E751CF">
        <w:t xml:space="preserve">Consumer Confidence </w:t>
      </w:r>
      <w:bookmarkEnd w:id="3"/>
      <w:r w:rsidR="009F06F7">
        <w:t xml:space="preserve">nearing GFC levels </w:t>
      </w:r>
      <w:r w:rsidRPr="00E751CF">
        <w:t xml:space="preserve"> </w:t>
      </w:r>
    </w:p>
    <w:p w14:paraId="702C4D56" w14:textId="12C32A5D" w:rsidR="00E751CF" w:rsidRPr="0094760C" w:rsidRDefault="0030524B" w:rsidP="0030524B">
      <w:pPr>
        <w:rPr>
          <w:rFonts w:ascii="Helvetica" w:hAnsi="Helvetica"/>
        </w:rPr>
      </w:pPr>
      <w:r w:rsidRPr="0094760C">
        <w:rPr>
          <w:rFonts w:ascii="Helvetica" w:hAnsi="Helvetica"/>
        </w:rPr>
        <w:t>This dynamic has led to the lowest levels of consumer confidence since the Global Financial Crisis of 2008/9. The ANZ/Roy Morgan and Westpac-Melbourne Institute Consumer Confidence indices both find a marked decline in consumer confidence. In 2009, consumer confidence reached a peak, before continuing to fall over the same period as wages have stagnated. There is a clear correlation between wage stagnation, and consumer confidence – again impacted the opportunities for those employed in sector’s like retail trade, which are dependent on growth in aggregate demand. Per capita retail spending too has grown poorly over the past five years.</w:t>
      </w:r>
    </w:p>
    <w:p w14:paraId="317E0CCD" w14:textId="77777777" w:rsidR="00E751CF" w:rsidRPr="00E751CF" w:rsidRDefault="00E751CF" w:rsidP="00E751CF">
      <w:pPr>
        <w:rPr>
          <w:rFonts w:ascii="Helvetica" w:hAnsi="Helvetica" w:cs="Helvetica"/>
        </w:rPr>
      </w:pPr>
    </w:p>
    <w:p w14:paraId="037A4E61" w14:textId="77777777" w:rsidR="00E751CF" w:rsidRPr="00E751CF" w:rsidRDefault="00E751CF" w:rsidP="0030524B">
      <w:pPr>
        <w:rPr>
          <w:rFonts w:ascii="Helvetica" w:hAnsi="Helvetica"/>
          <w:sz w:val="22"/>
          <w:szCs w:val="22"/>
        </w:rPr>
      </w:pPr>
    </w:p>
    <w:p w14:paraId="6D281327" w14:textId="77777777" w:rsidR="00FE03EC" w:rsidRPr="00E751CF" w:rsidRDefault="0030524B" w:rsidP="009F06F7">
      <w:pPr>
        <w:keepNext/>
        <w:jc w:val="center"/>
        <w:rPr>
          <w:rFonts w:ascii="Helvetica" w:hAnsi="Helvetica"/>
        </w:rPr>
      </w:pPr>
      <w:r w:rsidRPr="00E751CF">
        <w:rPr>
          <w:rFonts w:ascii="Helvetica" w:hAnsi="Helvetica"/>
          <w:noProof/>
        </w:rPr>
        <w:drawing>
          <wp:inline distT="0" distB="0" distL="0" distR="0" wp14:anchorId="132DA80A" wp14:editId="307D1F83">
            <wp:extent cx="5451676" cy="3518703"/>
            <wp:effectExtent l="0" t="0" r="9525" b="12065"/>
            <wp:docPr id="14" name="Chart 14">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207C9A" w14:textId="75E1CE7D" w:rsidR="0030524B" w:rsidRPr="00E751CF" w:rsidRDefault="00FE03EC" w:rsidP="00C9398C">
      <w:pPr>
        <w:pStyle w:val="Caption"/>
        <w:jc w:val="left"/>
        <w:rPr>
          <w:rFonts w:ascii="Helvetica" w:hAnsi="Helvetica"/>
        </w:rPr>
      </w:pPr>
      <w:r w:rsidRPr="00E751CF">
        <w:rPr>
          <w:rFonts w:ascii="Helvetica" w:hAnsi="Helvetica"/>
        </w:rPr>
        <w:t xml:space="preserve">Figure </w:t>
      </w:r>
      <w:r w:rsidR="00751D46">
        <w:rPr>
          <w:rFonts w:ascii="Helvetica" w:hAnsi="Helvetica"/>
        </w:rPr>
        <w:t>3</w:t>
      </w:r>
      <w:r w:rsidRPr="00E751CF">
        <w:rPr>
          <w:rFonts w:ascii="Helvetica" w:hAnsi="Helvetica"/>
        </w:rPr>
        <w:t>: Consumer confidence is at levels similar to those seen during the GFC</w:t>
      </w:r>
      <w:r w:rsidR="00751D46">
        <w:rPr>
          <w:rFonts w:ascii="Helvetica" w:hAnsi="Helvetica"/>
        </w:rPr>
        <w:t>: Source: ANZ/Morgan Consumer Confidence Index</w:t>
      </w:r>
      <w:r w:rsidR="000B6D31">
        <w:rPr>
          <w:rStyle w:val="EndnoteReference"/>
          <w:rFonts w:ascii="Helvetica" w:hAnsi="Helvetica"/>
        </w:rPr>
        <w:endnoteReference w:id="4"/>
      </w:r>
      <w:r w:rsidR="00751D46">
        <w:rPr>
          <w:rFonts w:ascii="Helvetica" w:hAnsi="Helvetica"/>
        </w:rPr>
        <w:t>, WestPac/Melbourne Institute Consumer Sentiment</w:t>
      </w:r>
      <w:r w:rsidR="000B6D31">
        <w:rPr>
          <w:rStyle w:val="EndnoteReference"/>
          <w:rFonts w:ascii="Helvetica" w:hAnsi="Helvetica"/>
        </w:rPr>
        <w:endnoteReference w:id="5"/>
      </w:r>
      <w:r w:rsidR="00751D46">
        <w:rPr>
          <w:rFonts w:ascii="Helvetica" w:hAnsi="Helvetica"/>
        </w:rPr>
        <w:t xml:space="preserve"> index. </w:t>
      </w:r>
    </w:p>
    <w:p w14:paraId="1D05C301" w14:textId="1F0A668C" w:rsidR="007F2883" w:rsidRDefault="007F2883">
      <w:pPr>
        <w:rPr>
          <w:rFonts w:ascii="Helvetica" w:hAnsi="Helvetica" w:cs="Helvetica"/>
        </w:rPr>
      </w:pPr>
    </w:p>
    <w:p w14:paraId="0EE390A3" w14:textId="4B30708A" w:rsidR="009F06F7" w:rsidRDefault="009F06F7">
      <w:pPr>
        <w:rPr>
          <w:rFonts w:ascii="Helvetica" w:hAnsi="Helvetica" w:cs="Helvetica"/>
        </w:rPr>
      </w:pPr>
    </w:p>
    <w:p w14:paraId="4E91E111" w14:textId="77777777" w:rsidR="009F06F7" w:rsidRPr="00E751CF" w:rsidRDefault="009F06F7" w:rsidP="009F06F7">
      <w:pPr>
        <w:pStyle w:val="Heading1"/>
      </w:pPr>
      <w:bookmarkStart w:id="4" w:name="_Toc34401760"/>
      <w:r w:rsidRPr="00E751CF">
        <w:t>The decline in spending has damaged the sector</w:t>
      </w:r>
      <w:bookmarkEnd w:id="4"/>
      <w:r w:rsidRPr="00E751CF">
        <w:t xml:space="preserve"> </w:t>
      </w:r>
    </w:p>
    <w:p w14:paraId="4D7416A7" w14:textId="77777777" w:rsidR="009F06F7" w:rsidRPr="0094760C" w:rsidRDefault="009F06F7" w:rsidP="009F06F7">
      <w:pPr>
        <w:rPr>
          <w:rFonts w:ascii="Helvetica" w:hAnsi="Helvetica"/>
        </w:rPr>
      </w:pPr>
      <w:r w:rsidRPr="0094760C">
        <w:rPr>
          <w:rFonts w:ascii="Helvetica" w:hAnsi="Helvetica"/>
        </w:rPr>
        <w:t>These macro trends have damaged the sector. Constrained consumer confidence and spending has led to the collapse of existing retail outlets and discouraged prospective investors in Australia’s retail sector from establishing operations. In just the first weeks of 2020, news has already emerged of major retailer Harris Scarf closing some 21 outlets across Australia</w:t>
      </w:r>
      <w:r w:rsidRPr="0094760C">
        <w:rPr>
          <w:rStyle w:val="EndnoteReference"/>
          <w:rFonts w:ascii="Helvetica" w:hAnsi="Helvetica"/>
        </w:rPr>
        <w:endnoteReference w:id="6"/>
      </w:r>
      <w:r w:rsidRPr="0094760C">
        <w:rPr>
          <w:rFonts w:ascii="Helvetica" w:hAnsi="Helvetica"/>
        </w:rPr>
        <w:t>, and international retailer Kaufland – which had already commenced construction at premises in Adelaide – withdrawing from the Australian market with ‘no warning’</w:t>
      </w:r>
      <w:r w:rsidRPr="0094760C">
        <w:rPr>
          <w:rStyle w:val="EndnoteReference"/>
          <w:rFonts w:ascii="Helvetica" w:hAnsi="Helvetica"/>
        </w:rPr>
        <w:endnoteReference w:id="7"/>
      </w:r>
      <w:r w:rsidRPr="0094760C">
        <w:rPr>
          <w:rFonts w:ascii="Helvetica" w:hAnsi="Helvetica"/>
        </w:rPr>
        <w:t>. This reflects the reality of a stagnant retail economy, driven by low wage growth, shallow consumer confidence, and exacerbated by the billions of dollars withdrawn from consumers’ back-pockets as a result of unchecked wage theft.</w:t>
      </w:r>
    </w:p>
    <w:p w14:paraId="1C5A483C" w14:textId="77777777" w:rsidR="009F06F7" w:rsidRPr="00E751CF" w:rsidRDefault="009F06F7">
      <w:pPr>
        <w:rPr>
          <w:rFonts w:ascii="Helvetica" w:hAnsi="Helvetica" w:cs="Helvetica"/>
        </w:rPr>
      </w:pPr>
    </w:p>
    <w:p w14:paraId="79A6C9B6" w14:textId="77777777" w:rsidR="00FE03EC" w:rsidRPr="00E751CF" w:rsidRDefault="00FE03EC" w:rsidP="009F06F7">
      <w:pPr>
        <w:keepNext/>
        <w:jc w:val="center"/>
        <w:rPr>
          <w:rFonts w:ascii="Helvetica" w:hAnsi="Helvetica"/>
        </w:rPr>
      </w:pPr>
      <w:r w:rsidRPr="00E751CF">
        <w:rPr>
          <w:rFonts w:ascii="Helvetica" w:hAnsi="Helvetica"/>
          <w:noProof/>
        </w:rPr>
        <w:drawing>
          <wp:inline distT="0" distB="0" distL="0" distR="0" wp14:anchorId="34B38D6B" wp14:editId="16B17A32">
            <wp:extent cx="5178056" cy="3640467"/>
            <wp:effectExtent l="0" t="0" r="16510" b="17145"/>
            <wp:docPr id="23" name="Chart 23">
              <a:extLst xmlns:a="http://schemas.openxmlformats.org/drawingml/2006/main">
                <a:ext uri="{FF2B5EF4-FFF2-40B4-BE49-F238E27FC236}">
                  <a16:creationId xmlns:a16="http://schemas.microsoft.com/office/drawing/2014/main" id="{6BA14856-3D7A-454E-8F92-F960D3329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C5532E" w14:textId="699973D4" w:rsidR="00FE03EC" w:rsidRDefault="00FE03EC" w:rsidP="00CC0DFE">
      <w:pPr>
        <w:pStyle w:val="Caption"/>
        <w:jc w:val="center"/>
        <w:rPr>
          <w:rFonts w:ascii="Helvetica" w:hAnsi="Helvetica"/>
        </w:rPr>
      </w:pPr>
      <w:r w:rsidRPr="00E751CF">
        <w:rPr>
          <w:rFonts w:ascii="Helvetica" w:hAnsi="Helvetica"/>
        </w:rPr>
        <w:t xml:space="preserve">Figure </w:t>
      </w:r>
      <w:r w:rsidR="0043153F">
        <w:rPr>
          <w:rFonts w:ascii="Helvetica" w:hAnsi="Helvetica"/>
        </w:rPr>
        <w:t>4</w:t>
      </w:r>
      <w:r w:rsidRPr="00E751CF">
        <w:rPr>
          <w:rFonts w:ascii="Helvetica" w:hAnsi="Helvetica"/>
        </w:rPr>
        <w:t>: Change in retail spending month/month, 5 years to December 2019.</w:t>
      </w:r>
      <w:r w:rsidR="00751D46">
        <w:rPr>
          <w:rFonts w:ascii="Helvetica" w:hAnsi="Helvetica"/>
        </w:rPr>
        <w:t xml:space="preserve"> Source: ABS Cat. 8501.0</w:t>
      </w:r>
      <w:r w:rsidR="00751D46">
        <w:rPr>
          <w:rStyle w:val="EndnoteReference"/>
          <w:rFonts w:ascii="Helvetica" w:hAnsi="Helvetica"/>
        </w:rPr>
        <w:endnoteReference w:id="8"/>
      </w:r>
    </w:p>
    <w:p w14:paraId="101181EB" w14:textId="77777777" w:rsidR="00CC0DFE" w:rsidRPr="00CC0DFE" w:rsidRDefault="00CC0DFE" w:rsidP="00CC0DFE">
      <w:pPr>
        <w:rPr>
          <w:lang w:val="en" w:eastAsia="en-US"/>
        </w:rPr>
      </w:pPr>
    </w:p>
    <w:p w14:paraId="21A0FE7B" w14:textId="3D04CF02" w:rsidR="00FE03EC" w:rsidRPr="00E751CF" w:rsidRDefault="00C121D0" w:rsidP="00FE03EC">
      <w:pPr>
        <w:rPr>
          <w:rFonts w:ascii="Helvetica" w:hAnsi="Helvetica"/>
        </w:rPr>
      </w:pPr>
      <w:r>
        <w:rPr>
          <w:rFonts w:ascii="Helvetica" w:hAnsi="Helvetica"/>
        </w:rPr>
        <w:t xml:space="preserve">This is evident in the national sales date, such as that presented in Figure </w:t>
      </w:r>
      <w:r w:rsidR="0043153F">
        <w:rPr>
          <w:rFonts w:ascii="Helvetica" w:hAnsi="Helvetica"/>
        </w:rPr>
        <w:t>4</w:t>
      </w:r>
      <w:r>
        <w:rPr>
          <w:rFonts w:ascii="Helvetica" w:hAnsi="Helvetica"/>
        </w:rPr>
        <w:t xml:space="preserve">. But it is clear also when we look at per-capita retail spending. </w:t>
      </w:r>
      <w:r w:rsidR="0094760C">
        <w:rPr>
          <w:rFonts w:ascii="Helvetica" w:hAnsi="Helvetica"/>
        </w:rPr>
        <w:t xml:space="preserve">Since its apex in June 2018, retail spending per capita has steadily fallen (Figure </w:t>
      </w:r>
      <w:r w:rsidR="0043153F">
        <w:rPr>
          <w:rFonts w:ascii="Helvetica" w:hAnsi="Helvetica"/>
        </w:rPr>
        <w:t>5</w:t>
      </w:r>
      <w:r w:rsidR="0094760C">
        <w:rPr>
          <w:rFonts w:ascii="Helvetica" w:hAnsi="Helvetica"/>
        </w:rPr>
        <w:t xml:space="preserve">). </w:t>
      </w:r>
    </w:p>
    <w:p w14:paraId="5D1BD35F" w14:textId="77777777" w:rsidR="00FE03EC" w:rsidRPr="00E751CF" w:rsidRDefault="00FE03EC" w:rsidP="00FE03EC">
      <w:pPr>
        <w:rPr>
          <w:rFonts w:ascii="Helvetica" w:hAnsi="Helvetica"/>
        </w:rPr>
      </w:pPr>
    </w:p>
    <w:p w14:paraId="4548988E" w14:textId="384F8130" w:rsidR="007F2883" w:rsidRPr="00E751CF" w:rsidRDefault="007F2883" w:rsidP="009F06F7">
      <w:pPr>
        <w:jc w:val="center"/>
        <w:rPr>
          <w:rFonts w:ascii="Helvetica" w:hAnsi="Helvetica"/>
        </w:rPr>
      </w:pPr>
      <w:r w:rsidRPr="00E751CF">
        <w:rPr>
          <w:rFonts w:ascii="Helvetica" w:hAnsi="Helvetica"/>
          <w:noProof/>
        </w:rPr>
        <w:drawing>
          <wp:inline distT="0" distB="0" distL="0" distR="0" wp14:anchorId="4871D99B" wp14:editId="637DFE7C">
            <wp:extent cx="4853354" cy="3036863"/>
            <wp:effectExtent l="0" t="0" r="10795" b="11430"/>
            <wp:docPr id="18" name="Chart 18">
              <a:extLst xmlns:a="http://schemas.openxmlformats.org/drawingml/2006/main">
                <a:ext uri="{FF2B5EF4-FFF2-40B4-BE49-F238E27FC236}">
                  <a16:creationId xmlns:a16="http://schemas.microsoft.com/office/drawing/2014/main" id="{AA80E389-77D9-BC4F-93CC-3EF39F275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115130" w14:textId="1FDC5350" w:rsidR="007F2883" w:rsidRPr="00E751CF" w:rsidRDefault="00FE03EC" w:rsidP="009F06F7">
      <w:pPr>
        <w:pStyle w:val="Caption"/>
        <w:jc w:val="center"/>
        <w:rPr>
          <w:rFonts w:ascii="Helvetica" w:hAnsi="Helvetica"/>
        </w:rPr>
      </w:pPr>
      <w:r w:rsidRPr="00E751CF">
        <w:rPr>
          <w:rFonts w:ascii="Helvetica" w:hAnsi="Helvetica"/>
        </w:rPr>
        <w:t xml:space="preserve">Figure </w:t>
      </w:r>
      <w:r w:rsidR="0043153F">
        <w:rPr>
          <w:rFonts w:ascii="Helvetica" w:hAnsi="Helvetica"/>
        </w:rPr>
        <w:t>5</w:t>
      </w:r>
      <w:r w:rsidRPr="00E751CF">
        <w:rPr>
          <w:rFonts w:ascii="Helvetica" w:hAnsi="Helvetica"/>
        </w:rPr>
        <w:t xml:space="preserve">: Retail spending per capita has been trending downwards since 2019. </w:t>
      </w:r>
      <w:r w:rsidR="007F2883" w:rsidRPr="00E751CF">
        <w:rPr>
          <w:rFonts w:ascii="Helvetica" w:hAnsi="Helvetica"/>
        </w:rPr>
        <w:t>Source: ABS Cat. 8501019</w:t>
      </w:r>
      <w:r w:rsidR="007F2883" w:rsidRPr="00E751CF">
        <w:rPr>
          <w:rStyle w:val="EndnoteReference"/>
          <w:rFonts w:ascii="Helvetica" w:hAnsi="Helvetica" w:cstheme="majorHAnsi"/>
        </w:rPr>
        <w:endnoteReference w:id="9"/>
      </w:r>
      <w:r w:rsidR="007F2883" w:rsidRPr="00E751CF">
        <w:rPr>
          <w:rFonts w:ascii="Helvetica" w:hAnsi="Helvetica"/>
        </w:rPr>
        <w:t>.</w:t>
      </w:r>
    </w:p>
    <w:p w14:paraId="355CA285" w14:textId="3DD392A5" w:rsidR="009F06F7" w:rsidRDefault="009F06F7" w:rsidP="007F2883">
      <w:pPr>
        <w:rPr>
          <w:rFonts w:ascii="Helvetica" w:hAnsi="Helvetica"/>
        </w:rPr>
      </w:pPr>
    </w:p>
    <w:p w14:paraId="78ADA4F8" w14:textId="132147C9" w:rsidR="009F06F7" w:rsidRDefault="0094760C" w:rsidP="007F2883">
      <w:pPr>
        <w:rPr>
          <w:rFonts w:ascii="Helvetica" w:hAnsi="Helvetica"/>
        </w:rPr>
      </w:pPr>
      <w:r>
        <w:rPr>
          <w:rFonts w:ascii="Helvetica" w:hAnsi="Helvetica"/>
        </w:rPr>
        <w:t xml:space="preserve">The consequences of this decline in consumption has been acutely felt by the Department Store sector, which has been impacted by volatile monthly spending. (Figure </w:t>
      </w:r>
      <w:r w:rsidR="0043153F">
        <w:rPr>
          <w:rFonts w:ascii="Helvetica" w:hAnsi="Helvetica"/>
        </w:rPr>
        <w:t>6</w:t>
      </w:r>
      <w:r>
        <w:rPr>
          <w:rFonts w:ascii="Helvetica" w:hAnsi="Helvetica"/>
        </w:rPr>
        <w:t xml:space="preserve">). </w:t>
      </w:r>
    </w:p>
    <w:p w14:paraId="179BD3BF" w14:textId="77777777" w:rsidR="0094760C" w:rsidRPr="00E751CF" w:rsidRDefault="0094760C" w:rsidP="007F2883">
      <w:pPr>
        <w:rPr>
          <w:rFonts w:ascii="Helvetica" w:hAnsi="Helvetica"/>
        </w:rPr>
      </w:pPr>
    </w:p>
    <w:p w14:paraId="5E8ABC7B" w14:textId="77777777" w:rsidR="007F2883" w:rsidRPr="00E751CF" w:rsidRDefault="007F2883" w:rsidP="009F06F7">
      <w:pPr>
        <w:jc w:val="center"/>
        <w:rPr>
          <w:rFonts w:ascii="Helvetica" w:hAnsi="Helvetica"/>
        </w:rPr>
      </w:pPr>
      <w:r w:rsidRPr="00E751CF">
        <w:rPr>
          <w:rFonts w:ascii="Helvetica" w:hAnsi="Helvetica"/>
          <w:noProof/>
        </w:rPr>
        <w:drawing>
          <wp:inline distT="0" distB="0" distL="0" distR="0" wp14:anchorId="28454266" wp14:editId="6CBE5F8C">
            <wp:extent cx="4853305" cy="2997843"/>
            <wp:effectExtent l="0" t="0" r="10795" b="12065"/>
            <wp:docPr id="17" name="Chart 17">
              <a:extLst xmlns:a="http://schemas.openxmlformats.org/drawingml/2006/main">
                <a:ext uri="{FF2B5EF4-FFF2-40B4-BE49-F238E27FC236}">
                  <a16:creationId xmlns:a16="http://schemas.microsoft.com/office/drawing/2014/main" id="{1D399829-F329-944B-92D9-526DB09E5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6DAC81" w14:textId="37D996AB" w:rsidR="007F2883" w:rsidRPr="00E751CF" w:rsidRDefault="00FE03EC" w:rsidP="00B46B55">
      <w:pPr>
        <w:pStyle w:val="Caption"/>
        <w:jc w:val="left"/>
        <w:rPr>
          <w:rFonts w:ascii="Helvetica" w:hAnsi="Helvetica"/>
        </w:rPr>
      </w:pPr>
      <w:r w:rsidRPr="00E751CF">
        <w:rPr>
          <w:rFonts w:ascii="Helvetica" w:hAnsi="Helvetica"/>
        </w:rPr>
        <w:t xml:space="preserve">Figure </w:t>
      </w:r>
      <w:r w:rsidR="0043153F">
        <w:rPr>
          <w:rFonts w:ascii="Helvetica" w:hAnsi="Helvetica"/>
        </w:rPr>
        <w:t>6</w:t>
      </w:r>
      <w:r w:rsidRPr="00E751CF">
        <w:rPr>
          <w:rFonts w:ascii="Helvetica" w:hAnsi="Helvetica"/>
        </w:rPr>
        <w:t xml:space="preserve">: Department store turnover is volatile, with positive months only recording modest sales. This is leading to tumult in the sector, and is driven by the confluence of events highlight in Figures 1-3. </w:t>
      </w:r>
      <w:r w:rsidR="007F2883" w:rsidRPr="00E751CF">
        <w:rPr>
          <w:rFonts w:ascii="Helvetica" w:hAnsi="Helvetica"/>
        </w:rPr>
        <w:t>Source: ABS Cat. 8501.0</w:t>
      </w:r>
      <w:r w:rsidR="007F2883" w:rsidRPr="00E751CF">
        <w:rPr>
          <w:rStyle w:val="EndnoteReference"/>
          <w:rFonts w:ascii="Helvetica" w:hAnsi="Helvetica" w:cstheme="majorHAnsi"/>
        </w:rPr>
        <w:endnoteReference w:id="10"/>
      </w:r>
    </w:p>
    <w:p w14:paraId="70B5A626" w14:textId="77777777" w:rsidR="00E751CF" w:rsidRPr="00E751CF" w:rsidRDefault="00E751CF" w:rsidP="009F06F7">
      <w:pPr>
        <w:pStyle w:val="Heading3"/>
        <w:jc w:val="center"/>
        <w:rPr>
          <w:rFonts w:ascii="Helvetica" w:hAnsi="Helvetica"/>
          <w:b/>
          <w:bCs/>
          <w:sz w:val="24"/>
          <w:szCs w:val="24"/>
        </w:rPr>
      </w:pPr>
    </w:p>
    <w:p w14:paraId="4C3D625F" w14:textId="4BEB43A1" w:rsidR="00687595" w:rsidRPr="0094760C" w:rsidRDefault="00687595" w:rsidP="0094760C">
      <w:pPr>
        <w:pStyle w:val="Heading1"/>
        <w:rPr>
          <w:rFonts w:eastAsia="Arial"/>
          <w:color w:val="44546A" w:themeColor="text2"/>
          <w:lang w:val="en" w:eastAsia="en-US"/>
        </w:rPr>
      </w:pPr>
      <w:r w:rsidRPr="00E751CF">
        <w:t xml:space="preserve">More disposable income required to boost retail spending nationally </w:t>
      </w:r>
    </w:p>
    <w:p w14:paraId="4F6344F6" w14:textId="77777777" w:rsidR="00E751CF" w:rsidRPr="00E751CF" w:rsidRDefault="00E751CF" w:rsidP="00E751CF"/>
    <w:p w14:paraId="097F80F9" w14:textId="43DBE83D" w:rsidR="007F2883" w:rsidRPr="00C121D0" w:rsidRDefault="00687595" w:rsidP="007F2883">
      <w:pPr>
        <w:rPr>
          <w:rFonts w:ascii="Helvetica" w:hAnsi="Helvetica"/>
          <w:lang w:val="en" w:eastAsia="en-US"/>
        </w:rPr>
      </w:pPr>
      <w:r w:rsidRPr="00C121D0">
        <w:rPr>
          <w:rFonts w:ascii="Helvetica" w:hAnsi="Helvetica"/>
          <w:lang w:val="en" w:eastAsia="en-US"/>
        </w:rPr>
        <w:t xml:space="preserve">Australia’s retail economy is struggling as a result of broader economic conditions that are constraining the public’s appetite to engage in discretionary spending. Unfortunately, it has become common place to hear of major retailers entering administration or closing down. Further, prospective retailers who have considered entering the Australian market have decided against doing so, after assessing the economic landscape and eschewing the opportunity to enter what might be perceived as a challenging market. This was succinctly demonstrated with the withdrawal of Kaufland, a German retailer who had invested considerable resources in entering the Australian market, only to withdraw unexpectedly in January 2020. </w:t>
      </w:r>
    </w:p>
    <w:p w14:paraId="139B1992" w14:textId="4030A9E4" w:rsidR="00687595" w:rsidRPr="00C121D0" w:rsidRDefault="00687595" w:rsidP="007F2883">
      <w:pPr>
        <w:rPr>
          <w:rFonts w:ascii="Helvetica" w:hAnsi="Helvetica"/>
          <w:lang w:val="en" w:eastAsia="en-US"/>
        </w:rPr>
      </w:pPr>
    </w:p>
    <w:p w14:paraId="744425CC" w14:textId="2D9465C5" w:rsidR="00687595" w:rsidRPr="00C121D0" w:rsidRDefault="00687595" w:rsidP="007F2883">
      <w:pPr>
        <w:rPr>
          <w:rFonts w:ascii="Helvetica" w:hAnsi="Helvetica"/>
          <w:lang w:val="en" w:eastAsia="en-US"/>
        </w:rPr>
      </w:pPr>
      <w:r w:rsidRPr="00C121D0">
        <w:rPr>
          <w:rFonts w:ascii="Helvetica" w:hAnsi="Helvetica"/>
          <w:lang w:val="en" w:eastAsia="en-US"/>
        </w:rPr>
        <w:t>This dynamic presents a challenge for the retail sector – but also for the economy overall. As noted, retail workers constitute around 10 per cent of the labour market, with 1.25 million Australians employed in retail. The decisions that determine the income of this cohort have an outsized impact on aggregate demand throughout the economy.  Unfortunately, the recent past has seen downward pressure placed on retail workers’ wages, as well as workers in other SDA covered sectors. The imposition of penalty rate reductions has seen real wages for many retail workers decline, while ongoing wage stagnation and an increase in the cost of living has dissuaded retail workers from engaging in consumer spending. Further, the ongoing prevalence of wage theft on the Australian workforce, including in the retail sector, has placed downward pressure on wages overall. The SDA estimates that major wage theft scandals in the retail sector alone has cost retail workers over $600 million in recent years.</w:t>
      </w:r>
    </w:p>
    <w:p w14:paraId="0FDE8C3B" w14:textId="77777777" w:rsidR="00687595" w:rsidRPr="00C121D0" w:rsidRDefault="00687595" w:rsidP="007F2883">
      <w:pPr>
        <w:rPr>
          <w:rFonts w:ascii="Helvetica" w:hAnsi="Helvetica"/>
          <w:lang w:val="en" w:eastAsia="en-US"/>
        </w:rPr>
      </w:pPr>
    </w:p>
    <w:p w14:paraId="25F25DFB" w14:textId="6093D142" w:rsidR="00687595" w:rsidRPr="00C121D0" w:rsidRDefault="00687595" w:rsidP="007F2883">
      <w:pPr>
        <w:rPr>
          <w:rFonts w:ascii="Helvetica" w:hAnsi="Helvetica"/>
          <w:lang w:val="en" w:eastAsia="en-US"/>
        </w:rPr>
      </w:pPr>
      <w:r w:rsidRPr="00C121D0">
        <w:rPr>
          <w:rFonts w:ascii="Helvetica" w:hAnsi="Helvetica"/>
          <w:lang w:val="en" w:eastAsia="en-US"/>
        </w:rPr>
        <w:t>The result has been, expectedly, an increase in volatility in the retail sector</w:t>
      </w:r>
      <w:r w:rsidR="00183F33" w:rsidRPr="00C121D0">
        <w:rPr>
          <w:rFonts w:ascii="Helvetica" w:hAnsi="Helvetica"/>
          <w:lang w:val="en" w:eastAsia="en-US"/>
        </w:rPr>
        <w:t>, risking employment placing downward pressure on wages and conditions, leading to lower retail spending</w:t>
      </w:r>
      <w:r w:rsidRPr="00C121D0">
        <w:rPr>
          <w:rFonts w:ascii="Helvetica" w:hAnsi="Helvetica"/>
          <w:lang w:val="en" w:eastAsia="en-US"/>
        </w:rPr>
        <w:t xml:space="preserve">. This is evidenced by the inadequate retail spending data, released monthly, that demonstrates growth in retail spending in insufficient to sustain growth in the sector. In 2019, the highest monthly increase in retail spending from the previous month was 1 per cent, with the calendar year recording two negative months. Alarmingly, one of these negative months – when looking at seasonally adjusted retail spending data compiled by the ABS - was December, when the opposite would be expected – and is required – by retailers. </w:t>
      </w:r>
    </w:p>
    <w:p w14:paraId="7BA17455" w14:textId="7BF8DEAE" w:rsidR="00E751CF" w:rsidRDefault="00E751CF">
      <w:pPr>
        <w:rPr>
          <w:rFonts w:ascii="Helvetica" w:hAnsi="Helvetica" w:cs="Helvetica"/>
        </w:rPr>
      </w:pPr>
    </w:p>
    <w:p w14:paraId="1583B884" w14:textId="794A6ACE" w:rsidR="00E751CF" w:rsidRDefault="00E751CF">
      <w:pPr>
        <w:rPr>
          <w:rFonts w:ascii="Helvetica" w:hAnsi="Helvetica" w:cs="Helvetica"/>
        </w:rPr>
      </w:pPr>
    </w:p>
    <w:p w14:paraId="36F04C49" w14:textId="3D06FC8F" w:rsidR="00E751CF" w:rsidRDefault="0094760C" w:rsidP="00C121D0">
      <w:pPr>
        <w:pStyle w:val="Heading1"/>
      </w:pPr>
      <w:r>
        <w:t xml:space="preserve">Wage </w:t>
      </w:r>
      <w:r w:rsidR="0056645A">
        <w:t>restraints</w:t>
      </w:r>
      <w:r>
        <w:t xml:space="preserve"> can’t drive bushfire and virus recovery</w:t>
      </w:r>
    </w:p>
    <w:p w14:paraId="6F9D2AFE" w14:textId="054AD5D1" w:rsidR="00852964" w:rsidRDefault="0094760C">
      <w:pPr>
        <w:rPr>
          <w:rFonts w:ascii="Helvetica" w:hAnsi="Helvetica" w:cs="Helvetica"/>
        </w:rPr>
      </w:pPr>
      <w:r>
        <w:rPr>
          <w:rFonts w:ascii="Helvetica" w:hAnsi="Helvetica" w:cs="Helvetica"/>
        </w:rPr>
        <w:t xml:space="preserve">Proposals to utilise wage </w:t>
      </w:r>
      <w:r w:rsidR="00852964">
        <w:rPr>
          <w:rFonts w:ascii="Helvetica" w:hAnsi="Helvetica" w:cs="Helvetica"/>
        </w:rPr>
        <w:t>restraints</w:t>
      </w:r>
      <w:r>
        <w:rPr>
          <w:rFonts w:ascii="Helvetica" w:hAnsi="Helvetica" w:cs="Helvetica"/>
        </w:rPr>
        <w:t xml:space="preserve"> to drive the recovery, such as those put forward by the National Retailers Association, risk further damaging </w:t>
      </w:r>
      <w:r w:rsidR="00852964">
        <w:rPr>
          <w:rFonts w:ascii="Helvetica" w:hAnsi="Helvetica" w:cs="Helvetica"/>
        </w:rPr>
        <w:t>an already fragile</w:t>
      </w:r>
      <w:r>
        <w:rPr>
          <w:rFonts w:ascii="Helvetica" w:hAnsi="Helvetica" w:cs="Helvetica"/>
        </w:rPr>
        <w:t xml:space="preserve"> economy. Key to Australia’s post-bushfire and coronavirus recovery is the return to consumer spending seen prior to </w:t>
      </w:r>
      <w:r w:rsidR="00852964">
        <w:rPr>
          <w:rFonts w:ascii="Helvetica" w:hAnsi="Helvetica" w:cs="Helvetica"/>
        </w:rPr>
        <w:t>the dual</w:t>
      </w:r>
      <w:r>
        <w:rPr>
          <w:rFonts w:ascii="Helvetica" w:hAnsi="Helvetica" w:cs="Helvetica"/>
        </w:rPr>
        <w:t xml:space="preserve"> economic challenges</w:t>
      </w:r>
      <w:r w:rsidR="00852964">
        <w:rPr>
          <w:rFonts w:ascii="Helvetica" w:hAnsi="Helvetica" w:cs="Helvetica"/>
        </w:rPr>
        <w:t xml:space="preserve"> of the bushfires and coronavirus</w:t>
      </w:r>
      <w:r>
        <w:rPr>
          <w:rFonts w:ascii="Helvetica" w:hAnsi="Helvetica" w:cs="Helvetica"/>
        </w:rPr>
        <w:t xml:space="preserve">. </w:t>
      </w:r>
    </w:p>
    <w:p w14:paraId="121A9C92" w14:textId="77777777" w:rsidR="00852964" w:rsidRDefault="00852964">
      <w:pPr>
        <w:rPr>
          <w:rFonts w:ascii="Helvetica" w:hAnsi="Helvetica" w:cs="Helvetica"/>
        </w:rPr>
      </w:pPr>
    </w:p>
    <w:p w14:paraId="01D1D66D" w14:textId="7B8756D1" w:rsidR="0094760C" w:rsidRDefault="0094760C">
      <w:pPr>
        <w:rPr>
          <w:rFonts w:ascii="Helvetica" w:hAnsi="Helvetica" w:cs="Helvetica"/>
        </w:rPr>
      </w:pPr>
      <w:r>
        <w:rPr>
          <w:rFonts w:ascii="Helvetica" w:hAnsi="Helvetica" w:cs="Helvetica"/>
        </w:rPr>
        <w:t xml:space="preserve">Many of the workers who would be asked to sacrifice a minimum wage increase are also those who, currently, have no access to paid leave or remuneration should they be asked to enter quarantine as a result of the coronavirus. It is irresponsible to ask these workers – who are already facing weeks without pay under worse case scenarios – to sacrifice any wage increase. </w:t>
      </w:r>
    </w:p>
    <w:p w14:paraId="47ADEA32" w14:textId="77777777" w:rsidR="0094760C" w:rsidRDefault="0094760C">
      <w:pPr>
        <w:rPr>
          <w:rFonts w:ascii="Helvetica" w:hAnsi="Helvetica" w:cs="Helvetica"/>
        </w:rPr>
      </w:pPr>
    </w:p>
    <w:p w14:paraId="67508722" w14:textId="2C65D467" w:rsidR="00E751CF" w:rsidRDefault="0094760C">
      <w:pPr>
        <w:rPr>
          <w:rFonts w:ascii="Helvetica" w:hAnsi="Helvetica" w:cs="Helvetica"/>
        </w:rPr>
      </w:pPr>
      <w:r>
        <w:rPr>
          <w:rFonts w:ascii="Helvetica" w:hAnsi="Helvetica" w:cs="Helvetica"/>
        </w:rPr>
        <w:t xml:space="preserve">The Australian economy will not bounce back by delaying or avoiding increases in NMWOs. A well targeted fiscal stimulus is a much more sensible approach. </w:t>
      </w:r>
    </w:p>
    <w:p w14:paraId="671EFED0" w14:textId="2B2264BB" w:rsidR="00E751CF" w:rsidRDefault="00E751CF">
      <w:pPr>
        <w:rPr>
          <w:rFonts w:ascii="Helvetica" w:hAnsi="Helvetica" w:cs="Helvetica"/>
        </w:rPr>
      </w:pPr>
    </w:p>
    <w:p w14:paraId="617F1460" w14:textId="0B5723E3" w:rsidR="0094760C" w:rsidRDefault="0094760C">
      <w:pPr>
        <w:spacing w:after="160" w:line="259" w:lineRule="auto"/>
        <w:contextualSpacing w:val="0"/>
        <w:jc w:val="left"/>
        <w:rPr>
          <w:rFonts w:ascii="Helvetica" w:hAnsi="Helvetica" w:cs="Helvetica"/>
        </w:rPr>
      </w:pPr>
      <w:r>
        <w:rPr>
          <w:rFonts w:ascii="Helvetica" w:hAnsi="Helvetica" w:cs="Helvetica"/>
        </w:rPr>
        <w:br w:type="page"/>
      </w:r>
    </w:p>
    <w:p w14:paraId="01D9393D" w14:textId="5888B649" w:rsidR="00E751CF" w:rsidRPr="00CC0DFE" w:rsidRDefault="00CC0DFE" w:rsidP="00CC0DFE">
      <w:pPr>
        <w:pStyle w:val="Heading1"/>
      </w:pPr>
      <w:r>
        <w:t xml:space="preserve">End Notes </w:t>
      </w:r>
    </w:p>
    <w:sectPr w:rsidR="00E751CF" w:rsidRPr="00CC0DFE">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1C78" w14:textId="77777777" w:rsidR="002836BB" w:rsidRDefault="002836BB" w:rsidP="0030524B">
      <w:pPr>
        <w:spacing w:line="240" w:lineRule="auto"/>
      </w:pPr>
      <w:r>
        <w:separator/>
      </w:r>
    </w:p>
  </w:endnote>
  <w:endnote w:type="continuationSeparator" w:id="0">
    <w:p w14:paraId="79F5D61C" w14:textId="77777777" w:rsidR="002836BB" w:rsidRDefault="002836BB" w:rsidP="0030524B">
      <w:pPr>
        <w:spacing w:line="240" w:lineRule="auto"/>
      </w:pPr>
      <w:r>
        <w:continuationSeparator/>
      </w:r>
    </w:p>
  </w:endnote>
  <w:endnote w:id="1">
    <w:p w14:paraId="51DA809F" w14:textId="558A9288" w:rsidR="000B6D31" w:rsidRPr="000B6D31" w:rsidRDefault="000B6D31">
      <w:pPr>
        <w:pStyle w:val="EndnoteText"/>
        <w:rPr>
          <w:rFonts w:ascii="Arial" w:hAnsi="Arial" w:cs="Arial"/>
        </w:rPr>
      </w:pPr>
      <w:r w:rsidRPr="000B6D31">
        <w:rPr>
          <w:rStyle w:val="EndnoteReference"/>
          <w:rFonts w:ascii="Arial" w:hAnsi="Arial" w:cs="Arial"/>
        </w:rPr>
        <w:endnoteRef/>
      </w:r>
      <w:r w:rsidRPr="000B6D31">
        <w:rPr>
          <w:rFonts w:ascii="Arial" w:hAnsi="Arial" w:cs="Arial"/>
        </w:rPr>
        <w:t xml:space="preserve"> Australian Bureau of Statistics, 2019. Labour Force, Australia, Detailed, Quarterly, Nov. Accessed online: </w:t>
      </w:r>
      <w:hyperlink r:id="rId1" w:history="1">
        <w:r w:rsidRPr="000B6D31">
          <w:rPr>
            <w:rStyle w:val="Hyperlink"/>
            <w:rFonts w:ascii="Arial" w:hAnsi="Arial" w:cs="Arial"/>
          </w:rPr>
          <w:t>https://www.abs.gov.au/ausstats/abs@.nsf/mf/6291.0.55.003</w:t>
        </w:r>
      </w:hyperlink>
    </w:p>
    <w:p w14:paraId="7BC2A9DC" w14:textId="77777777" w:rsidR="000B6D31" w:rsidRPr="000B6D31" w:rsidRDefault="000B6D31">
      <w:pPr>
        <w:pStyle w:val="EndnoteText"/>
        <w:rPr>
          <w:rFonts w:ascii="Arial" w:hAnsi="Arial" w:cs="Arial"/>
          <w:lang w:val="en-AU"/>
        </w:rPr>
      </w:pPr>
    </w:p>
  </w:endnote>
  <w:endnote w:id="2">
    <w:p w14:paraId="68B7D9EE" w14:textId="564128D7" w:rsidR="000B6D31" w:rsidRPr="000B6D31" w:rsidRDefault="000B6D31">
      <w:pPr>
        <w:pStyle w:val="EndnoteText"/>
        <w:rPr>
          <w:rFonts w:ascii="Arial" w:hAnsi="Arial" w:cs="Arial"/>
        </w:rPr>
      </w:pPr>
      <w:r w:rsidRPr="000B6D31">
        <w:rPr>
          <w:rStyle w:val="EndnoteReference"/>
          <w:rFonts w:ascii="Arial" w:hAnsi="Arial" w:cs="Arial"/>
        </w:rPr>
        <w:endnoteRef/>
      </w:r>
      <w:r w:rsidRPr="000B6D31">
        <w:rPr>
          <w:rFonts w:ascii="Arial" w:hAnsi="Arial" w:cs="Arial"/>
        </w:rPr>
        <w:t xml:space="preserve"> Australian Bureau of Statistics, 2019. '6345.0 Wage Price Index, Australia, Dec 2019'. Accessed online: </w:t>
      </w:r>
      <w:hyperlink r:id="rId2" w:history="1">
        <w:r w:rsidRPr="000B6D31">
          <w:rPr>
            <w:rStyle w:val="Hyperlink"/>
            <w:rFonts w:ascii="Arial" w:hAnsi="Arial" w:cs="Arial"/>
          </w:rPr>
          <w:t>https://www.abs.gov.au/ausstats/abs@.nsf/mf/6345.0</w:t>
        </w:r>
      </w:hyperlink>
    </w:p>
    <w:p w14:paraId="6F2FE222" w14:textId="77777777" w:rsidR="000B6D31" w:rsidRPr="000B6D31" w:rsidRDefault="000B6D31">
      <w:pPr>
        <w:pStyle w:val="EndnoteText"/>
        <w:rPr>
          <w:rFonts w:ascii="Arial" w:hAnsi="Arial" w:cs="Arial"/>
          <w:lang w:val="en-AU"/>
        </w:rPr>
      </w:pPr>
    </w:p>
  </w:endnote>
  <w:endnote w:id="3">
    <w:p w14:paraId="5A616112" w14:textId="64504131" w:rsidR="000B6D31" w:rsidRPr="000B6D31" w:rsidRDefault="000B6D31">
      <w:pPr>
        <w:pStyle w:val="EndnoteText"/>
        <w:rPr>
          <w:rFonts w:ascii="Arial" w:hAnsi="Arial" w:cs="Arial"/>
        </w:rPr>
      </w:pPr>
      <w:r w:rsidRPr="000B6D31">
        <w:rPr>
          <w:rStyle w:val="EndnoteReference"/>
          <w:rFonts w:ascii="Arial" w:hAnsi="Arial" w:cs="Arial"/>
        </w:rPr>
        <w:endnoteRef/>
      </w:r>
      <w:r w:rsidRPr="000B6D31">
        <w:rPr>
          <w:rFonts w:ascii="Arial" w:hAnsi="Arial" w:cs="Arial"/>
        </w:rPr>
        <w:t xml:space="preserve"> Australian Bureau of Statistics, 2019. '6401.0 - Consumer Price Index, Australia, Dec 2019.' Accessed online: </w:t>
      </w:r>
      <w:hyperlink r:id="rId3" w:history="1">
        <w:r w:rsidRPr="000B6D31">
          <w:rPr>
            <w:rStyle w:val="Hyperlink"/>
            <w:rFonts w:ascii="Arial" w:hAnsi="Arial" w:cs="Arial"/>
          </w:rPr>
          <w:t>https://www.abs.gov.au/ausstats/abs@.nsf/mf/6401.0</w:t>
        </w:r>
      </w:hyperlink>
    </w:p>
    <w:p w14:paraId="0F45DB83" w14:textId="77777777" w:rsidR="000B6D31" w:rsidRPr="000B6D31" w:rsidRDefault="000B6D31">
      <w:pPr>
        <w:pStyle w:val="EndnoteText"/>
        <w:rPr>
          <w:rFonts w:ascii="Arial" w:hAnsi="Arial" w:cs="Arial"/>
          <w:lang w:val="en-AU"/>
        </w:rPr>
      </w:pPr>
    </w:p>
  </w:endnote>
  <w:endnote w:id="4">
    <w:p w14:paraId="621890E0" w14:textId="776FB303" w:rsidR="000B6D31" w:rsidRPr="000B6D31" w:rsidRDefault="000B6D31">
      <w:pPr>
        <w:pStyle w:val="EndnoteText"/>
        <w:rPr>
          <w:rFonts w:ascii="Arial" w:hAnsi="Arial" w:cs="Arial"/>
        </w:rPr>
      </w:pPr>
      <w:r w:rsidRPr="000B6D31">
        <w:rPr>
          <w:rStyle w:val="EndnoteReference"/>
          <w:rFonts w:ascii="Arial" w:hAnsi="Arial" w:cs="Arial"/>
        </w:rPr>
        <w:endnoteRef/>
      </w:r>
      <w:r w:rsidRPr="000B6D31">
        <w:rPr>
          <w:rFonts w:ascii="Arial" w:hAnsi="Arial" w:cs="Arial"/>
        </w:rPr>
        <w:t xml:space="preserve"> ANZ Roy Morgan, 2020. 'ANZ-Roy Morgan Australian CC Monthly Ratings 1973-2000'. Accessed online: roymorgan.com/morganpoll/consumer-confidence/consumer-monthly-results</w:t>
      </w:r>
    </w:p>
    <w:p w14:paraId="13336038" w14:textId="77777777" w:rsidR="000B6D31" w:rsidRPr="000B6D31" w:rsidRDefault="000B6D31">
      <w:pPr>
        <w:pStyle w:val="EndnoteText"/>
        <w:rPr>
          <w:rFonts w:ascii="Arial" w:hAnsi="Arial" w:cs="Arial"/>
        </w:rPr>
      </w:pPr>
    </w:p>
  </w:endnote>
  <w:endnote w:id="5">
    <w:p w14:paraId="72BB7B81" w14:textId="3F1C4628" w:rsidR="000B6D31" w:rsidRPr="000B6D31" w:rsidRDefault="000B6D31">
      <w:pPr>
        <w:pStyle w:val="EndnoteText"/>
        <w:rPr>
          <w:rFonts w:ascii="Arial" w:hAnsi="Arial" w:cs="Arial"/>
          <w:lang w:val="en-AU"/>
        </w:rPr>
      </w:pPr>
      <w:r w:rsidRPr="000B6D31">
        <w:rPr>
          <w:rStyle w:val="EndnoteReference"/>
          <w:rFonts w:ascii="Arial" w:hAnsi="Arial" w:cs="Arial"/>
        </w:rPr>
        <w:endnoteRef/>
      </w:r>
      <w:r w:rsidRPr="000B6D31">
        <w:rPr>
          <w:rFonts w:ascii="Arial" w:hAnsi="Arial" w:cs="Arial"/>
        </w:rPr>
        <w:t xml:space="preserve"> WestPac, 2019. 'WestPac Melbourne Institute Consumer Sentiment'. Accessed online: https://www.westpac.com.au/content/dam/public/wbc/documents/pdf/aw/economics-research/er20191009BullConsumerSentiment.pdf</w:t>
      </w:r>
    </w:p>
  </w:endnote>
  <w:endnote w:id="6">
    <w:p w14:paraId="7995D776" w14:textId="77777777" w:rsidR="009F06F7" w:rsidRPr="000B6D31" w:rsidRDefault="009F06F7" w:rsidP="009F06F7">
      <w:pPr>
        <w:jc w:val="left"/>
        <w:rPr>
          <w:rStyle w:val="Hyperlink"/>
          <w:rFonts w:ascii="Arial" w:eastAsia="Calibri" w:hAnsi="Arial" w:cs="Arial"/>
          <w:sz w:val="20"/>
          <w:szCs w:val="20"/>
        </w:rPr>
      </w:pPr>
      <w:r w:rsidRPr="000B6D31">
        <w:rPr>
          <w:rStyle w:val="EndnoteReference"/>
          <w:rFonts w:ascii="Arial" w:hAnsi="Arial" w:cs="Arial"/>
          <w:sz w:val="20"/>
          <w:szCs w:val="20"/>
        </w:rPr>
        <w:endnoteRef/>
      </w:r>
      <w:r w:rsidRPr="000B6D31">
        <w:rPr>
          <w:rFonts w:ascii="Arial" w:hAnsi="Arial" w:cs="Arial"/>
          <w:sz w:val="20"/>
          <w:szCs w:val="20"/>
        </w:rPr>
        <w:t xml:space="preserve"> Blake, D. 2020. ‘Harris Scarfe closing 21 stores’. </w:t>
      </w:r>
      <w:r w:rsidRPr="000B6D31">
        <w:rPr>
          <w:rFonts w:ascii="Arial" w:hAnsi="Arial" w:cs="Arial"/>
          <w:i/>
          <w:iCs w:val="0"/>
          <w:sz w:val="20"/>
          <w:szCs w:val="20"/>
        </w:rPr>
        <w:t>Inside Retail</w:t>
      </w:r>
      <w:r w:rsidRPr="000B6D31">
        <w:rPr>
          <w:rFonts w:ascii="Arial" w:hAnsi="Arial" w:cs="Arial"/>
          <w:sz w:val="20"/>
          <w:szCs w:val="20"/>
        </w:rPr>
        <w:t xml:space="preserve">. Accessed online: </w:t>
      </w:r>
      <w:hyperlink r:id="rId4" w:history="1">
        <w:r w:rsidRPr="000B6D31">
          <w:rPr>
            <w:rStyle w:val="Hyperlink"/>
            <w:rFonts w:ascii="Arial" w:eastAsia="Calibri" w:hAnsi="Arial" w:cs="Arial"/>
            <w:sz w:val="20"/>
            <w:szCs w:val="20"/>
          </w:rPr>
          <w:t>https://insideretail.com.au/news/harris-scarfe-closing-21-stores-202001</w:t>
        </w:r>
      </w:hyperlink>
    </w:p>
    <w:p w14:paraId="0477BF0F" w14:textId="77777777" w:rsidR="009F06F7" w:rsidRPr="000B6D31" w:rsidRDefault="009F06F7" w:rsidP="009F06F7">
      <w:pPr>
        <w:jc w:val="left"/>
        <w:rPr>
          <w:rFonts w:ascii="Arial" w:hAnsi="Arial" w:cs="Arial"/>
          <w:sz w:val="20"/>
          <w:szCs w:val="20"/>
        </w:rPr>
      </w:pPr>
    </w:p>
  </w:endnote>
  <w:endnote w:id="7">
    <w:p w14:paraId="00E9593A" w14:textId="63A50A56" w:rsidR="009F06F7" w:rsidRPr="000B6D31" w:rsidRDefault="009F06F7" w:rsidP="009F06F7">
      <w:pPr>
        <w:jc w:val="left"/>
        <w:rPr>
          <w:rStyle w:val="Hyperlink"/>
          <w:rFonts w:ascii="Arial" w:eastAsia="Calibri" w:hAnsi="Arial" w:cs="Arial"/>
          <w:sz w:val="20"/>
          <w:szCs w:val="20"/>
        </w:rPr>
      </w:pPr>
      <w:r w:rsidRPr="000B6D31">
        <w:rPr>
          <w:rStyle w:val="EndnoteReference"/>
          <w:rFonts w:ascii="Arial" w:hAnsi="Arial" w:cs="Arial"/>
          <w:sz w:val="20"/>
          <w:szCs w:val="20"/>
        </w:rPr>
        <w:endnoteRef/>
      </w:r>
      <w:r w:rsidRPr="000B6D31">
        <w:rPr>
          <w:rFonts w:ascii="Arial" w:hAnsi="Arial" w:cs="Arial"/>
          <w:sz w:val="20"/>
          <w:szCs w:val="20"/>
        </w:rPr>
        <w:t xml:space="preserve"> Mitchell, S. ‘ Warning’ as Kaufland pulls plug on Australia’. Accessed online: </w:t>
      </w:r>
      <w:hyperlink r:id="rId5" w:history="1">
        <w:r w:rsidRPr="000B6D31">
          <w:rPr>
            <w:rStyle w:val="Hyperlink"/>
            <w:rFonts w:ascii="Arial" w:eastAsia="Calibri" w:hAnsi="Arial" w:cs="Arial"/>
            <w:sz w:val="20"/>
            <w:szCs w:val="20"/>
          </w:rPr>
          <w:t>https://www.afr.com/companies/retail/kaufland-pulls-plug-on-australia-without-firing-a-shot-20200122-p53tqa</w:t>
        </w:r>
      </w:hyperlink>
    </w:p>
    <w:p w14:paraId="4D8A7B2E" w14:textId="77777777" w:rsidR="00751D46" w:rsidRPr="000B6D31" w:rsidRDefault="00751D46" w:rsidP="009F06F7">
      <w:pPr>
        <w:jc w:val="left"/>
        <w:rPr>
          <w:rFonts w:ascii="Arial" w:hAnsi="Arial" w:cs="Arial"/>
          <w:sz w:val="20"/>
          <w:szCs w:val="20"/>
        </w:rPr>
      </w:pPr>
    </w:p>
  </w:endnote>
  <w:endnote w:id="8">
    <w:p w14:paraId="56DD2B3F" w14:textId="55431C7C" w:rsidR="00751D46" w:rsidRPr="006E3E4D" w:rsidRDefault="00751D46" w:rsidP="006E3E4D">
      <w:pPr>
        <w:pStyle w:val="Caption"/>
        <w:jc w:val="left"/>
        <w:rPr>
          <w:rFonts w:ascii="Arial" w:hAnsi="Arial"/>
          <w:color w:val="000000" w:themeColor="text1"/>
          <w:sz w:val="20"/>
          <w:szCs w:val="20"/>
        </w:rPr>
      </w:pPr>
      <w:r w:rsidRPr="009C31FB">
        <w:rPr>
          <w:rStyle w:val="EndnoteReference"/>
          <w:rFonts w:ascii="Arial" w:hAnsi="Arial"/>
          <w:color w:val="000000" w:themeColor="text1"/>
          <w:sz w:val="20"/>
          <w:szCs w:val="20"/>
        </w:rPr>
        <w:endnoteRef/>
      </w:r>
      <w:r w:rsidRPr="009C31FB">
        <w:rPr>
          <w:rFonts w:ascii="Arial" w:hAnsi="Arial"/>
          <w:color w:val="000000" w:themeColor="text1"/>
          <w:sz w:val="20"/>
          <w:szCs w:val="20"/>
        </w:rPr>
        <w:t xml:space="preserve"> </w:t>
      </w:r>
      <w:r w:rsidRPr="009C31FB">
        <w:rPr>
          <w:rFonts w:ascii="Arial" w:hAnsi="Arial"/>
          <w:i w:val="0"/>
          <w:color w:val="000000" w:themeColor="text1"/>
          <w:sz w:val="20"/>
          <w:szCs w:val="20"/>
          <w:lang w:val="en-AU"/>
        </w:rPr>
        <w:t>Australian Bureau of Statistics, 2019. '8501.0 - Retail Trade, Australia, Nov 2019. Accessed online:'https://www.abs.gov.au/AUSSTATS/abs@.nsf/DetailsPage/8501.0Nov%202019?OpenDocument</w:t>
      </w:r>
    </w:p>
  </w:endnote>
  <w:endnote w:id="9">
    <w:p w14:paraId="6F96FDC9" w14:textId="77777777" w:rsidR="007F2883" w:rsidRPr="000B6D31" w:rsidRDefault="007F2883" w:rsidP="007F2883">
      <w:pPr>
        <w:pStyle w:val="EndnoteText"/>
        <w:jc w:val="left"/>
        <w:rPr>
          <w:rFonts w:ascii="Arial" w:hAnsi="Arial" w:cs="Arial"/>
        </w:rPr>
      </w:pPr>
      <w:r w:rsidRPr="000B6D31">
        <w:rPr>
          <w:rStyle w:val="EndnoteReference"/>
          <w:rFonts w:ascii="Arial" w:hAnsi="Arial" w:cs="Arial"/>
        </w:rPr>
        <w:endnoteRef/>
      </w:r>
      <w:r w:rsidRPr="000B6D31">
        <w:rPr>
          <w:rFonts w:ascii="Arial" w:hAnsi="Arial" w:cs="Arial"/>
        </w:rPr>
        <w:t xml:space="preserve"> Australian Bureau of Statistics, 2019. '8501.0 - Retail Trade, Australia, Nov 2019. Accessed online:'https://www.abs.gov.au/AUSSTATS/abs@.nsf/DetailsPage/8501.0Nov%202019?OpenDocument</w:t>
      </w:r>
    </w:p>
    <w:p w14:paraId="0E92F438" w14:textId="77777777" w:rsidR="007F2883" w:rsidRPr="000B6D31" w:rsidRDefault="007F2883" w:rsidP="007F2883">
      <w:pPr>
        <w:pStyle w:val="EndnoteText"/>
        <w:jc w:val="left"/>
        <w:rPr>
          <w:rFonts w:ascii="Arial" w:hAnsi="Arial" w:cs="Arial"/>
        </w:rPr>
      </w:pPr>
    </w:p>
  </w:endnote>
  <w:endnote w:id="10">
    <w:p w14:paraId="36AFC6E9" w14:textId="77777777" w:rsidR="007F2883" w:rsidRPr="0092545B" w:rsidRDefault="007F2883" w:rsidP="007F2883">
      <w:pPr>
        <w:pStyle w:val="EndnoteText"/>
        <w:jc w:val="left"/>
        <w:rPr>
          <w:rFonts w:ascii="Museo 100" w:hAnsi="Museo 100"/>
          <w:sz w:val="22"/>
          <w:szCs w:val="22"/>
        </w:rPr>
      </w:pPr>
      <w:r w:rsidRPr="000B6D31">
        <w:rPr>
          <w:rStyle w:val="EndnoteReference"/>
          <w:rFonts w:ascii="Arial" w:hAnsi="Arial" w:cs="Arial"/>
        </w:rPr>
        <w:endnoteRef/>
      </w:r>
      <w:r w:rsidRPr="000B6D31">
        <w:rPr>
          <w:rFonts w:ascii="Arial" w:hAnsi="Arial" w:cs="Arial"/>
        </w:rPr>
        <w:t xml:space="preserve"> </w:t>
      </w:r>
      <w:bookmarkStart w:id="5" w:name="OLE_LINK6"/>
      <w:r w:rsidRPr="000B6D31">
        <w:rPr>
          <w:rFonts w:ascii="Arial" w:hAnsi="Arial" w:cs="Arial"/>
        </w:rPr>
        <w:t>Australian Bureau of Statistics, 2019. '8501.0 - Retail Trade, Australia, Nov 2019. Accessed online:'https://www.abs.gov.au/AUSSTATS/abs@.nsf/DetailsPage/8501.0Nov%202019?OpenDocument</w:t>
      </w:r>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useo 100">
    <w:altName w:val="Calibri"/>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30735"/>
      <w:docPartObj>
        <w:docPartGallery w:val="Page Numbers (Bottom of Page)"/>
        <w:docPartUnique/>
      </w:docPartObj>
    </w:sdtPr>
    <w:sdtEndPr>
      <w:rPr>
        <w:rStyle w:val="PageNumber"/>
      </w:rPr>
    </w:sdtEndPr>
    <w:sdtContent>
      <w:p w14:paraId="2A74FACA" w14:textId="158DCE5E" w:rsidR="008333F2" w:rsidRDefault="008333F2" w:rsidP="00526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C964" w14:textId="77777777" w:rsidR="008333F2" w:rsidRDefault="008333F2" w:rsidP="00833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880160"/>
      <w:docPartObj>
        <w:docPartGallery w:val="Page Numbers (Bottom of Page)"/>
        <w:docPartUnique/>
      </w:docPartObj>
    </w:sdtPr>
    <w:sdtEndPr>
      <w:rPr>
        <w:rStyle w:val="PageNumber"/>
      </w:rPr>
    </w:sdtEndPr>
    <w:sdtContent>
      <w:p w14:paraId="71210E6A" w14:textId="4C34D113" w:rsidR="008333F2" w:rsidRDefault="008333F2" w:rsidP="00526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72347" w14:textId="77777777" w:rsidR="008333F2" w:rsidRDefault="008333F2" w:rsidP="008333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12F3" w14:textId="77777777" w:rsidR="002836BB" w:rsidRDefault="002836BB" w:rsidP="0030524B">
      <w:pPr>
        <w:spacing w:line="240" w:lineRule="auto"/>
      </w:pPr>
      <w:r>
        <w:separator/>
      </w:r>
    </w:p>
  </w:footnote>
  <w:footnote w:type="continuationSeparator" w:id="0">
    <w:p w14:paraId="02CD6917" w14:textId="77777777" w:rsidR="002836BB" w:rsidRDefault="002836BB" w:rsidP="003052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34F40"/>
    <w:multiLevelType w:val="hybridMultilevel"/>
    <w:tmpl w:val="2E1EA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40"/>
    <w:rsid w:val="00064240"/>
    <w:rsid w:val="000B6D31"/>
    <w:rsid w:val="000F14FD"/>
    <w:rsid w:val="0012646D"/>
    <w:rsid w:val="00142ACA"/>
    <w:rsid w:val="00183F33"/>
    <w:rsid w:val="0022211B"/>
    <w:rsid w:val="002416D8"/>
    <w:rsid w:val="00253E5C"/>
    <w:rsid w:val="0025495B"/>
    <w:rsid w:val="0026220A"/>
    <w:rsid w:val="002836BB"/>
    <w:rsid w:val="002B7ABC"/>
    <w:rsid w:val="002D4A7C"/>
    <w:rsid w:val="002E5D21"/>
    <w:rsid w:val="0030524B"/>
    <w:rsid w:val="00334806"/>
    <w:rsid w:val="0038493F"/>
    <w:rsid w:val="003A1552"/>
    <w:rsid w:val="003B0C12"/>
    <w:rsid w:val="003B1E38"/>
    <w:rsid w:val="003C4E5F"/>
    <w:rsid w:val="003D7D62"/>
    <w:rsid w:val="003E4A12"/>
    <w:rsid w:val="00405A55"/>
    <w:rsid w:val="00414C5A"/>
    <w:rsid w:val="0043153F"/>
    <w:rsid w:val="0043242E"/>
    <w:rsid w:val="0045215E"/>
    <w:rsid w:val="00472243"/>
    <w:rsid w:val="004B0151"/>
    <w:rsid w:val="004D770C"/>
    <w:rsid w:val="00501E97"/>
    <w:rsid w:val="00507B25"/>
    <w:rsid w:val="00523549"/>
    <w:rsid w:val="0055576E"/>
    <w:rsid w:val="0056645A"/>
    <w:rsid w:val="005B1033"/>
    <w:rsid w:val="005B5AFC"/>
    <w:rsid w:val="006309C8"/>
    <w:rsid w:val="006758EB"/>
    <w:rsid w:val="00687595"/>
    <w:rsid w:val="006A48A5"/>
    <w:rsid w:val="006B4309"/>
    <w:rsid w:val="006C78E8"/>
    <w:rsid w:val="006E3B88"/>
    <w:rsid w:val="006E3E4D"/>
    <w:rsid w:val="006F1332"/>
    <w:rsid w:val="00721A40"/>
    <w:rsid w:val="00730CA1"/>
    <w:rsid w:val="00751D46"/>
    <w:rsid w:val="007D6A31"/>
    <w:rsid w:val="007F2883"/>
    <w:rsid w:val="007F4C1B"/>
    <w:rsid w:val="00806F39"/>
    <w:rsid w:val="008333F2"/>
    <w:rsid w:val="0083673F"/>
    <w:rsid w:val="00847A43"/>
    <w:rsid w:val="00852964"/>
    <w:rsid w:val="008605E7"/>
    <w:rsid w:val="00870092"/>
    <w:rsid w:val="00875F44"/>
    <w:rsid w:val="00875FA4"/>
    <w:rsid w:val="008807F8"/>
    <w:rsid w:val="008A432B"/>
    <w:rsid w:val="008B4C71"/>
    <w:rsid w:val="008E526C"/>
    <w:rsid w:val="008F63D1"/>
    <w:rsid w:val="0091798D"/>
    <w:rsid w:val="00930C22"/>
    <w:rsid w:val="0094760C"/>
    <w:rsid w:val="00957700"/>
    <w:rsid w:val="00973A82"/>
    <w:rsid w:val="009908B5"/>
    <w:rsid w:val="00993D77"/>
    <w:rsid w:val="009A0E7A"/>
    <w:rsid w:val="009C31FB"/>
    <w:rsid w:val="009D3F5F"/>
    <w:rsid w:val="009E553D"/>
    <w:rsid w:val="009F06F7"/>
    <w:rsid w:val="009F3909"/>
    <w:rsid w:val="00A956DE"/>
    <w:rsid w:val="00B270F3"/>
    <w:rsid w:val="00B46B55"/>
    <w:rsid w:val="00B55E30"/>
    <w:rsid w:val="00B63986"/>
    <w:rsid w:val="00B65CFE"/>
    <w:rsid w:val="00B72B74"/>
    <w:rsid w:val="00B808F5"/>
    <w:rsid w:val="00B91710"/>
    <w:rsid w:val="00BB3AC2"/>
    <w:rsid w:val="00BD3884"/>
    <w:rsid w:val="00BF23C6"/>
    <w:rsid w:val="00C05E59"/>
    <w:rsid w:val="00C121D0"/>
    <w:rsid w:val="00C42658"/>
    <w:rsid w:val="00C9398C"/>
    <w:rsid w:val="00C958CB"/>
    <w:rsid w:val="00CA557E"/>
    <w:rsid w:val="00CC0DFE"/>
    <w:rsid w:val="00CC3B75"/>
    <w:rsid w:val="00DD3BC6"/>
    <w:rsid w:val="00E0421A"/>
    <w:rsid w:val="00E11EF6"/>
    <w:rsid w:val="00E223C5"/>
    <w:rsid w:val="00E3778A"/>
    <w:rsid w:val="00E5000A"/>
    <w:rsid w:val="00E56B23"/>
    <w:rsid w:val="00E626F6"/>
    <w:rsid w:val="00E63F78"/>
    <w:rsid w:val="00E746EF"/>
    <w:rsid w:val="00E751CF"/>
    <w:rsid w:val="00ED05BA"/>
    <w:rsid w:val="00F007D7"/>
    <w:rsid w:val="00F11ACC"/>
    <w:rsid w:val="00F418EF"/>
    <w:rsid w:val="00F47053"/>
    <w:rsid w:val="00F54E4F"/>
    <w:rsid w:val="00F60A64"/>
    <w:rsid w:val="00F6386C"/>
    <w:rsid w:val="00FE03EC"/>
    <w:rsid w:val="00FF5F01"/>
    <w:rsid w:val="00FF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9E59"/>
  <w15:chartTrackingRefBased/>
  <w15:docId w15:val="{3C25EA12-E37F-4846-88E1-9E00BCD6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240"/>
    <w:pPr>
      <w:spacing w:after="0" w:line="276" w:lineRule="auto"/>
      <w:contextualSpacing/>
      <w:jc w:val="both"/>
    </w:pPr>
    <w:rPr>
      <w:rFonts w:asciiTheme="majorHAnsi" w:eastAsia="Times New Roman" w:hAnsiTheme="majorHAnsi" w:cstheme="majorHAnsi"/>
      <w:iCs/>
      <w:sz w:val="24"/>
      <w:szCs w:val="24"/>
      <w:lang w:eastAsia="en-GB"/>
    </w:rPr>
  </w:style>
  <w:style w:type="paragraph" w:styleId="Heading1">
    <w:name w:val="heading 1"/>
    <w:basedOn w:val="Normal"/>
    <w:next w:val="Normal"/>
    <w:link w:val="Heading1Char"/>
    <w:uiPriority w:val="9"/>
    <w:qFormat/>
    <w:rsid w:val="00E751CF"/>
    <w:pPr>
      <w:spacing w:after="160" w:line="259" w:lineRule="auto"/>
      <w:contextualSpacing w:val="0"/>
      <w:jc w:val="left"/>
      <w:outlineLvl w:val="0"/>
    </w:pPr>
    <w:rPr>
      <w:rFonts w:ascii="Helvetica" w:hAnsi="Helvetica"/>
      <w:b/>
      <w:bCs/>
      <w:iCs w:val="0"/>
      <w:color w:val="000000" w:themeColor="text1"/>
      <w:sz w:val="28"/>
      <w:szCs w:val="28"/>
      <w:u w:val="single"/>
    </w:rPr>
  </w:style>
  <w:style w:type="paragraph" w:styleId="Heading3">
    <w:name w:val="heading 3"/>
    <w:basedOn w:val="Normal"/>
    <w:next w:val="Normal"/>
    <w:link w:val="Heading3Char"/>
    <w:uiPriority w:val="9"/>
    <w:unhideWhenUsed/>
    <w:qFormat/>
    <w:rsid w:val="0030524B"/>
    <w:pPr>
      <w:keepNext/>
      <w:keepLines/>
      <w:spacing w:before="320" w:after="80"/>
      <w:outlineLvl w:val="2"/>
    </w:pPr>
    <w:rPr>
      <w:rFonts w:eastAsia="Arial"/>
      <w:color w:val="44546A" w:themeColor="text2"/>
      <w:sz w:val="28"/>
      <w:szCs w:val="28"/>
      <w:lang w:val="en" w:eastAsia="en-US"/>
    </w:rPr>
  </w:style>
  <w:style w:type="paragraph" w:styleId="Heading4">
    <w:name w:val="heading 4"/>
    <w:basedOn w:val="Normal"/>
    <w:next w:val="Normal"/>
    <w:link w:val="Heading4Char"/>
    <w:uiPriority w:val="9"/>
    <w:semiHidden/>
    <w:unhideWhenUsed/>
    <w:qFormat/>
    <w:rsid w:val="007F2883"/>
    <w:pPr>
      <w:keepNext/>
      <w:keepLines/>
      <w:spacing w:before="40"/>
      <w:outlineLvl w:val="3"/>
    </w:pPr>
    <w:rPr>
      <w:rFonts w:eastAsiaTheme="majorEastAsia"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CF"/>
    <w:rPr>
      <w:rFonts w:eastAsia="Times New Roman" w:cstheme="majorHAnsi"/>
      <w:b/>
      <w:bCs/>
      <w:color w:val="000000" w:themeColor="text1"/>
      <w:sz w:val="28"/>
      <w:szCs w:val="28"/>
      <w:u w:val="single"/>
      <w:lang w:eastAsia="en-GB"/>
    </w:rPr>
  </w:style>
  <w:style w:type="character" w:customStyle="1" w:styleId="Heading3Char">
    <w:name w:val="Heading 3 Char"/>
    <w:basedOn w:val="DefaultParagraphFont"/>
    <w:link w:val="Heading3"/>
    <w:uiPriority w:val="9"/>
    <w:rsid w:val="0030524B"/>
    <w:rPr>
      <w:rFonts w:asciiTheme="majorHAnsi" w:eastAsia="Arial" w:hAnsiTheme="majorHAnsi" w:cstheme="majorHAnsi"/>
      <w:iCs/>
      <w:color w:val="44546A" w:themeColor="text2"/>
      <w:sz w:val="28"/>
      <w:szCs w:val="28"/>
      <w:lang w:val="en"/>
    </w:rPr>
  </w:style>
  <w:style w:type="character" w:styleId="Hyperlink">
    <w:name w:val="Hyperlink"/>
    <w:basedOn w:val="DefaultParagraphFont"/>
    <w:uiPriority w:val="99"/>
    <w:unhideWhenUsed/>
    <w:rsid w:val="0030524B"/>
    <w:rPr>
      <w:color w:val="0563C1" w:themeColor="hyperlink"/>
      <w:u w:val="single"/>
    </w:rPr>
  </w:style>
  <w:style w:type="character" w:styleId="EndnoteReference">
    <w:name w:val="endnote reference"/>
    <w:basedOn w:val="DefaultParagraphFont"/>
    <w:uiPriority w:val="99"/>
    <w:semiHidden/>
    <w:unhideWhenUsed/>
    <w:rsid w:val="0030524B"/>
    <w:rPr>
      <w:vertAlign w:val="superscript"/>
    </w:rPr>
  </w:style>
  <w:style w:type="paragraph" w:styleId="BalloonText">
    <w:name w:val="Balloon Text"/>
    <w:basedOn w:val="Normal"/>
    <w:link w:val="BalloonTextChar"/>
    <w:uiPriority w:val="99"/>
    <w:semiHidden/>
    <w:unhideWhenUsed/>
    <w:rsid w:val="003052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4B"/>
    <w:rPr>
      <w:rFonts w:ascii="Segoe UI" w:eastAsia="Times New Roman" w:hAnsi="Segoe UI" w:cs="Segoe UI"/>
      <w:iCs/>
      <w:sz w:val="18"/>
      <w:szCs w:val="18"/>
      <w:lang w:eastAsia="en-GB"/>
    </w:rPr>
  </w:style>
  <w:style w:type="character" w:customStyle="1" w:styleId="Heading4Char">
    <w:name w:val="Heading 4 Char"/>
    <w:basedOn w:val="DefaultParagraphFont"/>
    <w:link w:val="Heading4"/>
    <w:uiPriority w:val="9"/>
    <w:semiHidden/>
    <w:rsid w:val="007F2883"/>
    <w:rPr>
      <w:rFonts w:asciiTheme="majorHAnsi" w:eastAsiaTheme="majorEastAsia" w:hAnsiTheme="majorHAnsi" w:cstheme="majorBidi"/>
      <w:i/>
      <w:color w:val="2F5496" w:themeColor="accent1" w:themeShade="BF"/>
      <w:sz w:val="24"/>
      <w:szCs w:val="24"/>
      <w:lang w:eastAsia="en-GB"/>
    </w:rPr>
  </w:style>
  <w:style w:type="paragraph" w:styleId="EndnoteText">
    <w:name w:val="endnote text"/>
    <w:basedOn w:val="Normal"/>
    <w:link w:val="EndnoteTextChar"/>
    <w:uiPriority w:val="99"/>
    <w:unhideWhenUsed/>
    <w:rsid w:val="007F2883"/>
    <w:pPr>
      <w:spacing w:before="100" w:beforeAutospacing="1" w:after="100" w:afterAutospacing="1"/>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rsid w:val="007F2883"/>
    <w:rPr>
      <w:rFonts w:ascii="Calibri" w:eastAsia="Calibri" w:hAnsi="Calibri" w:cstheme="majorHAnsi"/>
      <w:iCs/>
      <w:sz w:val="20"/>
      <w:szCs w:val="20"/>
      <w:lang w:val="en-US"/>
    </w:rPr>
  </w:style>
  <w:style w:type="paragraph" w:styleId="Caption">
    <w:name w:val="caption"/>
    <w:basedOn w:val="Normal"/>
    <w:next w:val="Normal"/>
    <w:uiPriority w:val="35"/>
    <w:unhideWhenUsed/>
    <w:qFormat/>
    <w:rsid w:val="007F2883"/>
    <w:pPr>
      <w:spacing w:after="200"/>
    </w:pPr>
    <w:rPr>
      <w:rFonts w:eastAsia="Arial" w:cs="Arial"/>
      <w:i/>
      <w:iCs w:val="0"/>
      <w:color w:val="44546A" w:themeColor="text2"/>
      <w:sz w:val="18"/>
      <w:szCs w:val="18"/>
      <w:lang w:val="en" w:eastAsia="en-US"/>
    </w:rPr>
  </w:style>
  <w:style w:type="paragraph" w:customStyle="1" w:styleId="Default">
    <w:name w:val="Default"/>
    <w:rsid w:val="008700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4C1B"/>
    <w:rPr>
      <w:sz w:val="16"/>
      <w:szCs w:val="16"/>
    </w:rPr>
  </w:style>
  <w:style w:type="paragraph" w:styleId="CommentText">
    <w:name w:val="annotation text"/>
    <w:basedOn w:val="Normal"/>
    <w:link w:val="CommentTextChar"/>
    <w:uiPriority w:val="99"/>
    <w:semiHidden/>
    <w:unhideWhenUsed/>
    <w:rsid w:val="007F4C1B"/>
    <w:pPr>
      <w:spacing w:line="240" w:lineRule="auto"/>
    </w:pPr>
    <w:rPr>
      <w:sz w:val="20"/>
      <w:szCs w:val="20"/>
    </w:rPr>
  </w:style>
  <w:style w:type="character" w:customStyle="1" w:styleId="CommentTextChar">
    <w:name w:val="Comment Text Char"/>
    <w:basedOn w:val="DefaultParagraphFont"/>
    <w:link w:val="CommentText"/>
    <w:uiPriority w:val="99"/>
    <w:semiHidden/>
    <w:rsid w:val="007F4C1B"/>
    <w:rPr>
      <w:rFonts w:asciiTheme="majorHAnsi" w:eastAsia="Times New Roman" w:hAnsiTheme="majorHAnsi" w:cstheme="majorHAnsi"/>
      <w:iCs/>
      <w:sz w:val="20"/>
      <w:szCs w:val="20"/>
      <w:lang w:eastAsia="en-GB"/>
    </w:rPr>
  </w:style>
  <w:style w:type="paragraph" w:styleId="CommentSubject">
    <w:name w:val="annotation subject"/>
    <w:basedOn w:val="CommentText"/>
    <w:next w:val="CommentText"/>
    <w:link w:val="CommentSubjectChar"/>
    <w:uiPriority w:val="99"/>
    <w:semiHidden/>
    <w:unhideWhenUsed/>
    <w:rsid w:val="007F4C1B"/>
    <w:rPr>
      <w:b/>
      <w:bCs/>
    </w:rPr>
  </w:style>
  <w:style w:type="character" w:customStyle="1" w:styleId="CommentSubjectChar">
    <w:name w:val="Comment Subject Char"/>
    <w:basedOn w:val="CommentTextChar"/>
    <w:link w:val="CommentSubject"/>
    <w:uiPriority w:val="99"/>
    <w:semiHidden/>
    <w:rsid w:val="007F4C1B"/>
    <w:rPr>
      <w:rFonts w:asciiTheme="majorHAnsi" w:eastAsia="Times New Roman" w:hAnsiTheme="majorHAnsi" w:cstheme="majorHAnsi"/>
      <w:b/>
      <w:bCs/>
      <w:iCs/>
      <w:sz w:val="20"/>
      <w:szCs w:val="20"/>
      <w:lang w:eastAsia="en-GB"/>
    </w:rPr>
  </w:style>
  <w:style w:type="paragraph" w:styleId="ListParagraph">
    <w:name w:val="List Paragraph"/>
    <w:basedOn w:val="Normal"/>
    <w:uiPriority w:val="34"/>
    <w:qFormat/>
    <w:rsid w:val="0094760C"/>
    <w:pPr>
      <w:ind w:left="720"/>
    </w:pPr>
  </w:style>
  <w:style w:type="paragraph" w:styleId="Footer">
    <w:name w:val="footer"/>
    <w:basedOn w:val="Normal"/>
    <w:link w:val="FooterChar"/>
    <w:uiPriority w:val="99"/>
    <w:unhideWhenUsed/>
    <w:rsid w:val="008333F2"/>
    <w:pPr>
      <w:tabs>
        <w:tab w:val="center" w:pos="4680"/>
        <w:tab w:val="right" w:pos="9360"/>
      </w:tabs>
      <w:spacing w:line="240" w:lineRule="auto"/>
    </w:pPr>
  </w:style>
  <w:style w:type="character" w:customStyle="1" w:styleId="FooterChar">
    <w:name w:val="Footer Char"/>
    <w:basedOn w:val="DefaultParagraphFont"/>
    <w:link w:val="Footer"/>
    <w:uiPriority w:val="99"/>
    <w:rsid w:val="008333F2"/>
    <w:rPr>
      <w:rFonts w:asciiTheme="majorHAnsi" w:eastAsia="Times New Roman" w:hAnsiTheme="majorHAnsi" w:cstheme="majorHAnsi"/>
      <w:iCs/>
      <w:sz w:val="24"/>
      <w:szCs w:val="24"/>
      <w:lang w:eastAsia="en-GB"/>
    </w:rPr>
  </w:style>
  <w:style w:type="character" w:styleId="PageNumber">
    <w:name w:val="page number"/>
    <w:basedOn w:val="DefaultParagraphFont"/>
    <w:uiPriority w:val="99"/>
    <w:semiHidden/>
    <w:unhideWhenUsed/>
    <w:rsid w:val="008333F2"/>
  </w:style>
  <w:style w:type="paragraph" w:styleId="Quote">
    <w:name w:val="Quote"/>
    <w:basedOn w:val="Normal"/>
    <w:next w:val="Normal"/>
    <w:link w:val="QuoteChar"/>
    <w:uiPriority w:val="29"/>
    <w:qFormat/>
    <w:rsid w:val="006A48A5"/>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6A48A5"/>
    <w:rPr>
      <w:rFonts w:asciiTheme="majorHAnsi" w:eastAsia="Times New Roman" w:hAnsiTheme="majorHAnsi" w:cstheme="majorHAnsi"/>
      <w:i/>
      <w:color w:val="404040" w:themeColor="text1" w:themeTint="BF"/>
      <w:sz w:val="24"/>
      <w:szCs w:val="24"/>
      <w:lang w:eastAsia="en-GB"/>
    </w:rPr>
  </w:style>
  <w:style w:type="character" w:styleId="UnresolvedMention">
    <w:name w:val="Unresolved Mention"/>
    <w:basedOn w:val="DefaultParagraphFont"/>
    <w:uiPriority w:val="99"/>
    <w:semiHidden/>
    <w:unhideWhenUsed/>
    <w:rsid w:val="000B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endnotes.xml.rels><?xml version="1.0" encoding="UTF-8" standalone="yes"?>
<Relationships xmlns="http://schemas.openxmlformats.org/package/2006/relationships"><Relationship Id="rId3" Type="http://schemas.openxmlformats.org/officeDocument/2006/relationships/hyperlink" Target="https://www.abs.gov.au/ausstats/abs@.nsf/mf/6401.0" TargetMode="External"/><Relationship Id="rId2" Type="http://schemas.openxmlformats.org/officeDocument/2006/relationships/hyperlink" Target="https://www.abs.gov.au/ausstats/abs@.nsf/mf/6345.0" TargetMode="External"/><Relationship Id="rId1" Type="http://schemas.openxmlformats.org/officeDocument/2006/relationships/hyperlink" Target="https://www.abs.gov.au/ausstats/abs@.nsf/mf/6291.0.55.003" TargetMode="External"/><Relationship Id="rId5" Type="http://schemas.openxmlformats.org/officeDocument/2006/relationships/hyperlink" Target="https://www.afr.com/companies/retail/kaufland-pulls-plug-on-australia-without-firing-a-shot-20200122-p53tqa" TargetMode="External"/><Relationship Id="rId4" Type="http://schemas.openxmlformats.org/officeDocument/2006/relationships/hyperlink" Target="https://insideretail.com.au/news/harris-scarfe-closing-21-stores-20200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edward\Downloads\6291004.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dward\Downloads\8148-ANZ-Roy-Morgan-Australian-CC-Data-1986-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dward\Downloads\850104.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dward\Downloads\8501019.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Breakdown</a:t>
            </a:r>
            <a:r>
              <a:rPr lang="en-GB" sz="1050" baseline="0"/>
              <a:t> of Australian Labour Force by Industry (Nov. 2019)</a:t>
            </a:r>
            <a:endParaRPr lang="en-GB"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1"/>
            <c:invertIfNegative val="0"/>
            <c:bubble3D val="0"/>
            <c:spPr>
              <a:solidFill>
                <a:srgbClr val="92D050"/>
              </a:solidFill>
              <a:ln>
                <a:noFill/>
              </a:ln>
              <a:effectLst/>
            </c:spPr>
            <c:extLst>
              <c:ext xmlns:c16="http://schemas.microsoft.com/office/drawing/2014/chart" uri="{C3380CC4-5D6E-409C-BE32-E72D297353CC}">
                <c16:uniqueId val="{00000001-AA8F-44A7-A508-3F231BD2F990}"/>
              </c:ext>
            </c:extLst>
          </c:dPt>
          <c:dPt>
            <c:idx val="14"/>
            <c:invertIfNegative val="0"/>
            <c:bubble3D val="0"/>
            <c:spPr>
              <a:solidFill>
                <a:srgbClr val="92D050"/>
              </a:solidFill>
              <a:ln>
                <a:noFill/>
              </a:ln>
              <a:effectLst/>
            </c:spPr>
            <c:extLst>
              <c:ext xmlns:c16="http://schemas.microsoft.com/office/drawing/2014/chart" uri="{C3380CC4-5D6E-409C-BE32-E72D297353CC}">
                <c16:uniqueId val="{00000003-AA8F-44A7-A508-3F231BD2F990}"/>
              </c:ext>
            </c:extLst>
          </c:dPt>
          <c:dPt>
            <c:idx val="18"/>
            <c:invertIfNegative val="0"/>
            <c:bubble3D val="0"/>
            <c:spPr>
              <a:solidFill>
                <a:srgbClr val="92D050"/>
              </a:solidFill>
              <a:ln>
                <a:noFill/>
              </a:ln>
              <a:effectLst/>
            </c:spPr>
            <c:extLst>
              <c:ext xmlns:c16="http://schemas.microsoft.com/office/drawing/2014/chart" uri="{C3380CC4-5D6E-409C-BE32-E72D297353CC}">
                <c16:uniqueId val="{00000005-AA8F-44A7-A508-3F231BD2F990}"/>
              </c:ext>
            </c:extLst>
          </c:dPt>
          <c:dLbls>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8F-44A7-A508-3F231BD2F9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Data1!$B$10:$T$10</c:f>
              <c:strCache>
                <c:ptCount val="19"/>
                <c:pt idx="1">
                  <c:v>Electricity, Gas, Water and Waste Services</c:v>
                </c:pt>
                <c:pt idx="2">
                  <c:v>Information Media and Telecommunications</c:v>
                </c:pt>
                <c:pt idx="3">
                  <c:v>Rental, Hiring and Real Estate Services</c:v>
                </c:pt>
                <c:pt idx="4">
                  <c:v>Mining</c:v>
                </c:pt>
                <c:pt idx="5">
                  <c:v>Arts and Recreation Services</c:v>
                </c:pt>
                <c:pt idx="6">
                  <c:v>Agriculture, Forestry and Fishing</c:v>
                </c:pt>
                <c:pt idx="7">
                  <c:v>Wholesale Trade</c:v>
                </c:pt>
                <c:pt idx="8">
                  <c:v>Administrative and Support Services</c:v>
                </c:pt>
                <c:pt idx="9">
                  <c:v>Financial and Insurance Services</c:v>
                </c:pt>
                <c:pt idx="10">
                  <c:v>Other Services</c:v>
                </c:pt>
                <c:pt idx="11">
                  <c:v>Transport, Postal and Warehousing</c:v>
                </c:pt>
                <c:pt idx="12">
                  <c:v>Public Administration and Safety</c:v>
                </c:pt>
                <c:pt idx="13">
                  <c:v>Manufacturing</c:v>
                </c:pt>
                <c:pt idx="14">
                  <c:v>Accommodation and Food Services</c:v>
                </c:pt>
                <c:pt idx="15">
                  <c:v>Education and Training</c:v>
                </c:pt>
                <c:pt idx="16">
                  <c:v>Professional, Scientific and Technical Services</c:v>
                </c:pt>
                <c:pt idx="17">
                  <c:v>Construction</c:v>
                </c:pt>
                <c:pt idx="18">
                  <c:v>Retail Trade</c:v>
                </c:pt>
              </c:strCache>
            </c:strRef>
          </c:cat>
          <c:val>
            <c:numRef>
              <c:f>Data1!$B$11:$T$11</c:f>
              <c:numCache>
                <c:formatCode>0.0;\-0.0;0.0;@</c:formatCode>
                <c:ptCount val="19"/>
                <c:pt idx="1">
                  <c:v>154.54161669999999</c:v>
                </c:pt>
                <c:pt idx="2">
                  <c:v>209.01412020000001</c:v>
                </c:pt>
                <c:pt idx="3">
                  <c:v>216.18394000000001</c:v>
                </c:pt>
                <c:pt idx="4">
                  <c:v>251.24097510000001</c:v>
                </c:pt>
                <c:pt idx="5">
                  <c:v>251.713596</c:v>
                </c:pt>
                <c:pt idx="6">
                  <c:v>319.12286060000002</c:v>
                </c:pt>
                <c:pt idx="7">
                  <c:v>377.23636690000001</c:v>
                </c:pt>
                <c:pt idx="8">
                  <c:v>451.65648670000002</c:v>
                </c:pt>
                <c:pt idx="9">
                  <c:v>461.91771569999997</c:v>
                </c:pt>
                <c:pt idx="10">
                  <c:v>499.7155459</c:v>
                </c:pt>
                <c:pt idx="11">
                  <c:v>658.44777769999996</c:v>
                </c:pt>
                <c:pt idx="12">
                  <c:v>836.80595119999998</c:v>
                </c:pt>
                <c:pt idx="13">
                  <c:v>916.96237659999997</c:v>
                </c:pt>
                <c:pt idx="14">
                  <c:v>928.77008430000001</c:v>
                </c:pt>
                <c:pt idx="15">
                  <c:v>1088.9449681999999</c:v>
                </c:pt>
                <c:pt idx="16">
                  <c:v>1147.6836717000001</c:v>
                </c:pt>
                <c:pt idx="17">
                  <c:v>1188.8013633999999</c:v>
                </c:pt>
                <c:pt idx="18">
                  <c:v>1275.4664419000001</c:v>
                </c:pt>
              </c:numCache>
            </c:numRef>
          </c:val>
          <c:extLst>
            <c:ext xmlns:c16="http://schemas.microsoft.com/office/drawing/2014/chart" uri="{C3380CC4-5D6E-409C-BE32-E72D297353CC}">
              <c16:uniqueId val="{00000006-AA8F-44A7-A508-3F231BD2F990}"/>
            </c:ext>
          </c:extLst>
        </c:ser>
        <c:dLbls>
          <c:showLegendKey val="0"/>
          <c:showVal val="0"/>
          <c:showCatName val="0"/>
          <c:showSerName val="0"/>
          <c:showPercent val="0"/>
          <c:showBubbleSize val="0"/>
        </c:dLbls>
        <c:gapWidth val="182"/>
        <c:axId val="926060720"/>
        <c:axId val="1363755328"/>
      </c:barChart>
      <c:catAx>
        <c:axId val="92606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755328"/>
        <c:crosses val="autoZero"/>
        <c:auto val="1"/>
        <c:lblAlgn val="ctr"/>
        <c:lblOffset val="100"/>
        <c:noMultiLvlLbl val="0"/>
      </c:catAx>
      <c:valAx>
        <c:axId val="1363755328"/>
        <c:scaling>
          <c:orientation val="minMax"/>
        </c:scaling>
        <c:delete val="0"/>
        <c:axPos val="b"/>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06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Wage Price Index</a:t>
            </a:r>
            <a:r>
              <a:rPr lang="en-GB" baseline="0"/>
              <a:t> vs Consumer Price Index: 10 years to September 2019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'WPI CPI'!$D$11</c:f>
              <c:strCache>
                <c:ptCount val="1"/>
                <c:pt idx="0">
                  <c:v>WPI</c:v>
                </c:pt>
              </c:strCache>
            </c:strRef>
          </c:tx>
          <c:spPr>
            <a:ln w="28575" cap="rnd">
              <a:solidFill>
                <a:schemeClr val="accent1"/>
              </a:solidFill>
              <a:round/>
            </a:ln>
            <a:effectLst/>
          </c:spPr>
          <c:marker>
            <c:symbol val="none"/>
          </c:marker>
          <c:cat>
            <c:numRef>
              <c:f>'WPI CPI'!$C$12:$C$52</c:f>
              <c:numCache>
                <c:formatCode>mmm\-yyyy</c:formatCode>
                <c:ptCount val="41"/>
                <c:pt idx="0">
                  <c:v>40057</c:v>
                </c:pt>
                <c:pt idx="1">
                  <c:v>40148</c:v>
                </c:pt>
                <c:pt idx="2">
                  <c:v>40238</c:v>
                </c:pt>
                <c:pt idx="3">
                  <c:v>40330</c:v>
                </c:pt>
                <c:pt idx="4">
                  <c:v>40422</c:v>
                </c:pt>
                <c:pt idx="5">
                  <c:v>40513</c:v>
                </c:pt>
                <c:pt idx="6">
                  <c:v>40603</c:v>
                </c:pt>
                <c:pt idx="7">
                  <c:v>40695</c:v>
                </c:pt>
                <c:pt idx="8">
                  <c:v>40787</c:v>
                </c:pt>
                <c:pt idx="9">
                  <c:v>40878</c:v>
                </c:pt>
                <c:pt idx="10">
                  <c:v>40969</c:v>
                </c:pt>
                <c:pt idx="11">
                  <c:v>41061</c:v>
                </c:pt>
                <c:pt idx="12">
                  <c:v>41153</c:v>
                </c:pt>
                <c:pt idx="13">
                  <c:v>41244</c:v>
                </c:pt>
                <c:pt idx="14">
                  <c:v>41334</c:v>
                </c:pt>
                <c:pt idx="15">
                  <c:v>41426</c:v>
                </c:pt>
                <c:pt idx="16">
                  <c:v>41518</c:v>
                </c:pt>
                <c:pt idx="17">
                  <c:v>41609</c:v>
                </c:pt>
                <c:pt idx="18">
                  <c:v>41699</c:v>
                </c:pt>
                <c:pt idx="19">
                  <c:v>41791</c:v>
                </c:pt>
                <c:pt idx="20">
                  <c:v>41883</c:v>
                </c:pt>
                <c:pt idx="21">
                  <c:v>41974</c:v>
                </c:pt>
                <c:pt idx="22">
                  <c:v>42064</c:v>
                </c:pt>
                <c:pt idx="23">
                  <c:v>42156</c:v>
                </c:pt>
                <c:pt idx="24">
                  <c:v>42248</c:v>
                </c:pt>
                <c:pt idx="25">
                  <c:v>42339</c:v>
                </c:pt>
                <c:pt idx="26">
                  <c:v>42430</c:v>
                </c:pt>
                <c:pt idx="27">
                  <c:v>42522</c:v>
                </c:pt>
                <c:pt idx="28">
                  <c:v>42614</c:v>
                </c:pt>
                <c:pt idx="29">
                  <c:v>42705</c:v>
                </c:pt>
                <c:pt idx="30">
                  <c:v>42795</c:v>
                </c:pt>
                <c:pt idx="31">
                  <c:v>42887</c:v>
                </c:pt>
                <c:pt idx="32">
                  <c:v>42979</c:v>
                </c:pt>
                <c:pt idx="33">
                  <c:v>43070</c:v>
                </c:pt>
                <c:pt idx="34">
                  <c:v>43160</c:v>
                </c:pt>
                <c:pt idx="35">
                  <c:v>43252</c:v>
                </c:pt>
                <c:pt idx="36">
                  <c:v>43344</c:v>
                </c:pt>
                <c:pt idx="37">
                  <c:v>43435</c:v>
                </c:pt>
                <c:pt idx="38">
                  <c:v>43525</c:v>
                </c:pt>
                <c:pt idx="39">
                  <c:v>43617</c:v>
                </c:pt>
                <c:pt idx="40">
                  <c:v>43709</c:v>
                </c:pt>
              </c:numCache>
            </c:numRef>
          </c:cat>
          <c:val>
            <c:numRef>
              <c:f>'WPI CPI'!$D$12:$D$52</c:f>
              <c:numCache>
                <c:formatCode>0.0;\-0.0;0.0;@</c:formatCode>
                <c:ptCount val="41"/>
                <c:pt idx="0">
                  <c:v>101.8</c:v>
                </c:pt>
                <c:pt idx="1">
                  <c:v>102.3</c:v>
                </c:pt>
                <c:pt idx="2">
                  <c:v>103.1</c:v>
                </c:pt>
                <c:pt idx="3">
                  <c:v>103.8</c:v>
                </c:pt>
                <c:pt idx="4">
                  <c:v>105.4</c:v>
                </c:pt>
                <c:pt idx="5">
                  <c:v>106.3</c:v>
                </c:pt>
                <c:pt idx="6">
                  <c:v>107.2</c:v>
                </c:pt>
                <c:pt idx="7">
                  <c:v>107.8</c:v>
                </c:pt>
                <c:pt idx="8">
                  <c:v>109.3</c:v>
                </c:pt>
                <c:pt idx="9">
                  <c:v>110.3</c:v>
                </c:pt>
                <c:pt idx="10">
                  <c:v>111.2</c:v>
                </c:pt>
                <c:pt idx="11">
                  <c:v>112</c:v>
                </c:pt>
                <c:pt idx="12">
                  <c:v>113.3</c:v>
                </c:pt>
                <c:pt idx="13">
                  <c:v>114.1</c:v>
                </c:pt>
                <c:pt idx="14">
                  <c:v>114.7</c:v>
                </c:pt>
                <c:pt idx="15">
                  <c:v>115.3</c:v>
                </c:pt>
                <c:pt idx="16">
                  <c:v>116.4</c:v>
                </c:pt>
                <c:pt idx="17">
                  <c:v>117</c:v>
                </c:pt>
                <c:pt idx="18">
                  <c:v>117.7</c:v>
                </c:pt>
                <c:pt idx="19">
                  <c:v>118.2</c:v>
                </c:pt>
                <c:pt idx="20">
                  <c:v>119.3</c:v>
                </c:pt>
                <c:pt idx="21">
                  <c:v>119.9</c:v>
                </c:pt>
                <c:pt idx="22">
                  <c:v>120.3</c:v>
                </c:pt>
                <c:pt idx="23">
                  <c:v>120.8</c:v>
                </c:pt>
                <c:pt idx="24">
                  <c:v>121.8</c:v>
                </c:pt>
                <c:pt idx="25">
                  <c:v>122.3</c:v>
                </c:pt>
                <c:pt idx="26">
                  <c:v>122.7</c:v>
                </c:pt>
                <c:pt idx="27">
                  <c:v>123.1</c:v>
                </c:pt>
                <c:pt idx="28">
                  <c:v>124.1</c:v>
                </c:pt>
                <c:pt idx="29">
                  <c:v>124.5</c:v>
                </c:pt>
                <c:pt idx="30">
                  <c:v>124.9</c:v>
                </c:pt>
                <c:pt idx="31">
                  <c:v>125.4</c:v>
                </c:pt>
                <c:pt idx="32">
                  <c:v>126.4</c:v>
                </c:pt>
                <c:pt idx="33">
                  <c:v>126.9</c:v>
                </c:pt>
                <c:pt idx="34">
                  <c:v>127.4</c:v>
                </c:pt>
                <c:pt idx="35">
                  <c:v>127.9</c:v>
                </c:pt>
                <c:pt idx="36">
                  <c:v>129.19999999999999</c:v>
                </c:pt>
                <c:pt idx="37">
                  <c:v>129.80000000000001</c:v>
                </c:pt>
                <c:pt idx="38">
                  <c:v>130.30000000000001</c:v>
                </c:pt>
                <c:pt idx="39">
                  <c:v>130.80000000000001</c:v>
                </c:pt>
                <c:pt idx="40">
                  <c:v>132</c:v>
                </c:pt>
              </c:numCache>
            </c:numRef>
          </c:val>
          <c:smooth val="0"/>
          <c:extLst>
            <c:ext xmlns:c16="http://schemas.microsoft.com/office/drawing/2014/chart" uri="{C3380CC4-5D6E-409C-BE32-E72D297353CC}">
              <c16:uniqueId val="{00000000-EBF3-9246-8CAA-AF796EAB39BB}"/>
            </c:ext>
          </c:extLst>
        </c:ser>
        <c:dLbls>
          <c:showLegendKey val="0"/>
          <c:showVal val="0"/>
          <c:showCatName val="0"/>
          <c:showSerName val="0"/>
          <c:showPercent val="0"/>
          <c:showBubbleSize val="0"/>
        </c:dLbls>
        <c:marker val="1"/>
        <c:smooth val="0"/>
        <c:axId val="934392816"/>
        <c:axId val="924067840"/>
      </c:lineChart>
      <c:lineChart>
        <c:grouping val="standard"/>
        <c:varyColors val="0"/>
        <c:ser>
          <c:idx val="1"/>
          <c:order val="1"/>
          <c:tx>
            <c:strRef>
              <c:f>'WPI CPI'!$E$11</c:f>
              <c:strCache>
                <c:ptCount val="1"/>
                <c:pt idx="0">
                  <c:v>CPI</c:v>
                </c:pt>
              </c:strCache>
            </c:strRef>
          </c:tx>
          <c:spPr>
            <a:ln w="28575" cap="rnd">
              <a:solidFill>
                <a:schemeClr val="accent2"/>
              </a:solidFill>
              <a:round/>
            </a:ln>
            <a:effectLst/>
          </c:spPr>
          <c:marker>
            <c:symbol val="none"/>
          </c:marker>
          <c:cat>
            <c:numRef>
              <c:f>'WPI CPI'!$C$12:$C$52</c:f>
              <c:numCache>
                <c:formatCode>mmm\-yyyy</c:formatCode>
                <c:ptCount val="41"/>
                <c:pt idx="0">
                  <c:v>40057</c:v>
                </c:pt>
                <c:pt idx="1">
                  <c:v>40148</c:v>
                </c:pt>
                <c:pt idx="2">
                  <c:v>40238</c:v>
                </c:pt>
                <c:pt idx="3">
                  <c:v>40330</c:v>
                </c:pt>
                <c:pt idx="4">
                  <c:v>40422</c:v>
                </c:pt>
                <c:pt idx="5">
                  <c:v>40513</c:v>
                </c:pt>
                <c:pt idx="6">
                  <c:v>40603</c:v>
                </c:pt>
                <c:pt idx="7">
                  <c:v>40695</c:v>
                </c:pt>
                <c:pt idx="8">
                  <c:v>40787</c:v>
                </c:pt>
                <c:pt idx="9">
                  <c:v>40878</c:v>
                </c:pt>
                <c:pt idx="10">
                  <c:v>40969</c:v>
                </c:pt>
                <c:pt idx="11">
                  <c:v>41061</c:v>
                </c:pt>
                <c:pt idx="12">
                  <c:v>41153</c:v>
                </c:pt>
                <c:pt idx="13">
                  <c:v>41244</c:v>
                </c:pt>
                <c:pt idx="14">
                  <c:v>41334</c:v>
                </c:pt>
                <c:pt idx="15">
                  <c:v>41426</c:v>
                </c:pt>
                <c:pt idx="16">
                  <c:v>41518</c:v>
                </c:pt>
                <c:pt idx="17">
                  <c:v>41609</c:v>
                </c:pt>
                <c:pt idx="18">
                  <c:v>41699</c:v>
                </c:pt>
                <c:pt idx="19">
                  <c:v>41791</c:v>
                </c:pt>
                <c:pt idx="20">
                  <c:v>41883</c:v>
                </c:pt>
                <c:pt idx="21">
                  <c:v>41974</c:v>
                </c:pt>
                <c:pt idx="22">
                  <c:v>42064</c:v>
                </c:pt>
                <c:pt idx="23">
                  <c:v>42156</c:v>
                </c:pt>
                <c:pt idx="24">
                  <c:v>42248</c:v>
                </c:pt>
                <c:pt idx="25">
                  <c:v>42339</c:v>
                </c:pt>
                <c:pt idx="26">
                  <c:v>42430</c:v>
                </c:pt>
                <c:pt idx="27">
                  <c:v>42522</c:v>
                </c:pt>
                <c:pt idx="28">
                  <c:v>42614</c:v>
                </c:pt>
                <c:pt idx="29">
                  <c:v>42705</c:v>
                </c:pt>
                <c:pt idx="30">
                  <c:v>42795</c:v>
                </c:pt>
                <c:pt idx="31">
                  <c:v>42887</c:v>
                </c:pt>
                <c:pt idx="32">
                  <c:v>42979</c:v>
                </c:pt>
                <c:pt idx="33">
                  <c:v>43070</c:v>
                </c:pt>
                <c:pt idx="34">
                  <c:v>43160</c:v>
                </c:pt>
                <c:pt idx="35">
                  <c:v>43252</c:v>
                </c:pt>
                <c:pt idx="36">
                  <c:v>43344</c:v>
                </c:pt>
                <c:pt idx="37">
                  <c:v>43435</c:v>
                </c:pt>
                <c:pt idx="38">
                  <c:v>43525</c:v>
                </c:pt>
                <c:pt idx="39">
                  <c:v>43617</c:v>
                </c:pt>
                <c:pt idx="40">
                  <c:v>43709</c:v>
                </c:pt>
              </c:numCache>
            </c:numRef>
          </c:cat>
          <c:val>
            <c:numRef>
              <c:f>'WPI CPI'!$E$12:$E$52</c:f>
              <c:numCache>
                <c:formatCode>0.0;\-0.0;0.0;@</c:formatCode>
                <c:ptCount val="41"/>
                <c:pt idx="0">
                  <c:v>93.8</c:v>
                </c:pt>
                <c:pt idx="1">
                  <c:v>94.3</c:v>
                </c:pt>
                <c:pt idx="2">
                  <c:v>95.2</c:v>
                </c:pt>
                <c:pt idx="3">
                  <c:v>95.8</c:v>
                </c:pt>
                <c:pt idx="4">
                  <c:v>96.5</c:v>
                </c:pt>
                <c:pt idx="5">
                  <c:v>96.9</c:v>
                </c:pt>
                <c:pt idx="6">
                  <c:v>98.3</c:v>
                </c:pt>
                <c:pt idx="7">
                  <c:v>99.2</c:v>
                </c:pt>
                <c:pt idx="8">
                  <c:v>99.8</c:v>
                </c:pt>
                <c:pt idx="9">
                  <c:v>99.8</c:v>
                </c:pt>
                <c:pt idx="10">
                  <c:v>99.9</c:v>
                </c:pt>
                <c:pt idx="11">
                  <c:v>100.4</c:v>
                </c:pt>
                <c:pt idx="12">
                  <c:v>101.8</c:v>
                </c:pt>
                <c:pt idx="13">
                  <c:v>102</c:v>
                </c:pt>
                <c:pt idx="14">
                  <c:v>102.4</c:v>
                </c:pt>
                <c:pt idx="15">
                  <c:v>102.8</c:v>
                </c:pt>
                <c:pt idx="16">
                  <c:v>104</c:v>
                </c:pt>
                <c:pt idx="17">
                  <c:v>104.8</c:v>
                </c:pt>
                <c:pt idx="18">
                  <c:v>105.4</c:v>
                </c:pt>
                <c:pt idx="19">
                  <c:v>105.9</c:v>
                </c:pt>
                <c:pt idx="20">
                  <c:v>106.4</c:v>
                </c:pt>
                <c:pt idx="21">
                  <c:v>106.6</c:v>
                </c:pt>
                <c:pt idx="22">
                  <c:v>106.8</c:v>
                </c:pt>
                <c:pt idx="23">
                  <c:v>107.5</c:v>
                </c:pt>
                <c:pt idx="24">
                  <c:v>108</c:v>
                </c:pt>
                <c:pt idx="25">
                  <c:v>108.4</c:v>
                </c:pt>
                <c:pt idx="26">
                  <c:v>108.2</c:v>
                </c:pt>
                <c:pt idx="27">
                  <c:v>108.6</c:v>
                </c:pt>
                <c:pt idx="28">
                  <c:v>109.4</c:v>
                </c:pt>
                <c:pt idx="29">
                  <c:v>110</c:v>
                </c:pt>
                <c:pt idx="30">
                  <c:v>110.5</c:v>
                </c:pt>
                <c:pt idx="31">
                  <c:v>110.7</c:v>
                </c:pt>
                <c:pt idx="32">
                  <c:v>111.4</c:v>
                </c:pt>
                <c:pt idx="33">
                  <c:v>112.1</c:v>
                </c:pt>
                <c:pt idx="34">
                  <c:v>112.6</c:v>
                </c:pt>
                <c:pt idx="35">
                  <c:v>113</c:v>
                </c:pt>
                <c:pt idx="36">
                  <c:v>113.5</c:v>
                </c:pt>
                <c:pt idx="37">
                  <c:v>114.1</c:v>
                </c:pt>
                <c:pt idx="38">
                  <c:v>114.1</c:v>
                </c:pt>
                <c:pt idx="39">
                  <c:v>114.8</c:v>
                </c:pt>
                <c:pt idx="40">
                  <c:v>115.4</c:v>
                </c:pt>
              </c:numCache>
            </c:numRef>
          </c:val>
          <c:smooth val="0"/>
          <c:extLst>
            <c:ext xmlns:c16="http://schemas.microsoft.com/office/drawing/2014/chart" uri="{C3380CC4-5D6E-409C-BE32-E72D297353CC}">
              <c16:uniqueId val="{00000001-EBF3-9246-8CAA-AF796EAB39BB}"/>
            </c:ext>
          </c:extLst>
        </c:ser>
        <c:dLbls>
          <c:showLegendKey val="0"/>
          <c:showVal val="0"/>
          <c:showCatName val="0"/>
          <c:showSerName val="0"/>
          <c:showPercent val="0"/>
          <c:showBubbleSize val="0"/>
        </c:dLbls>
        <c:marker val="1"/>
        <c:smooth val="0"/>
        <c:axId val="927573360"/>
        <c:axId val="1408049600"/>
      </c:lineChart>
      <c:dateAx>
        <c:axId val="934392816"/>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067840"/>
        <c:crosses val="autoZero"/>
        <c:auto val="1"/>
        <c:lblOffset val="100"/>
        <c:baseTimeUnit val="months"/>
      </c:dateAx>
      <c:valAx>
        <c:axId val="924067840"/>
        <c:scaling>
          <c:orientation val="minMax"/>
          <c:min val="101.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WPI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392816"/>
        <c:crosses val="autoZero"/>
        <c:crossBetween val="between"/>
      </c:valAx>
      <c:valAx>
        <c:axId val="1408049600"/>
        <c:scaling>
          <c:orientation val="minMax"/>
          <c:min val="93.8"/>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CPI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573360"/>
        <c:crosses val="max"/>
        <c:crossBetween val="between"/>
      </c:valAx>
      <c:dateAx>
        <c:axId val="927573360"/>
        <c:scaling>
          <c:orientation val="minMax"/>
        </c:scaling>
        <c:delete val="1"/>
        <c:axPos val="b"/>
        <c:numFmt formatCode="mmm\-yyyy" sourceLinked="1"/>
        <c:majorTickMark val="out"/>
        <c:minorTickMark val="none"/>
        <c:tickLblPos val="nextTo"/>
        <c:crossAx val="140804960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t>ANZ-Roy Morgan, Westpac-Melbourne Institute Consumer Conifidence Indices</a:t>
            </a:r>
          </a:p>
        </c:rich>
      </c:tx>
      <c:layout>
        <c:manualLayout>
          <c:xMode val="edge"/>
          <c:yMode val="edge"/>
          <c:x val="0.12865142002852439"/>
          <c:y val="2.41680131077280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94519131334023E-2"/>
          <c:y val="0.1"/>
          <c:w val="0.92554291623578078"/>
          <c:h val="0.77966101694915257"/>
        </c:manualLayout>
      </c:layout>
      <c:lineChart>
        <c:grouping val="standard"/>
        <c:varyColors val="0"/>
        <c:ser>
          <c:idx val="0"/>
          <c:order val="0"/>
          <c:tx>
            <c:strRef>
              <c:f>'ANZ-RM vs Westpac CC'!$C$1</c:f>
              <c:strCache>
                <c:ptCount val="1"/>
                <c:pt idx="0">
                  <c:v>ANZ-Roy Morgan Monthly</c:v>
                </c:pt>
              </c:strCache>
            </c:strRef>
          </c:tx>
          <c:spPr>
            <a:ln w="28575" cap="rnd">
              <a:solidFill>
                <a:schemeClr val="accent1"/>
              </a:solidFill>
              <a:round/>
            </a:ln>
            <a:effectLst/>
          </c:spPr>
          <c:marker>
            <c:symbol val="none"/>
          </c:marker>
          <c:dLbls>
            <c:dLbl>
              <c:idx val="23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9C-44B2-A229-B4FA6FB2F7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'ANZ-RM vs Westpac CC'!$B$2:$B$240</c:f>
              <c:numCache>
                <c:formatCode>mmm\-yy</c:formatCode>
                <c:ptCount val="239"/>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pt idx="231">
                  <c:v>43556</c:v>
                </c:pt>
                <c:pt idx="232">
                  <c:v>43586</c:v>
                </c:pt>
                <c:pt idx="233">
                  <c:v>43617</c:v>
                </c:pt>
                <c:pt idx="234">
                  <c:v>43647</c:v>
                </c:pt>
                <c:pt idx="235">
                  <c:v>43678</c:v>
                </c:pt>
                <c:pt idx="236">
                  <c:v>43709</c:v>
                </c:pt>
                <c:pt idx="237">
                  <c:v>43739</c:v>
                </c:pt>
                <c:pt idx="238">
                  <c:v>43770</c:v>
                </c:pt>
              </c:numCache>
            </c:numRef>
          </c:cat>
          <c:val>
            <c:numRef>
              <c:f>'ANZ-RM vs Westpac CC'!$C$2:$C$240</c:f>
              <c:numCache>
                <c:formatCode>0.0</c:formatCode>
                <c:ptCount val="239"/>
                <c:pt idx="0">
                  <c:v>122.3</c:v>
                </c:pt>
                <c:pt idx="1">
                  <c:v>119.9</c:v>
                </c:pt>
                <c:pt idx="2">
                  <c:v>112.9</c:v>
                </c:pt>
                <c:pt idx="3">
                  <c:v>116.6</c:v>
                </c:pt>
                <c:pt idx="4">
                  <c:v>112</c:v>
                </c:pt>
                <c:pt idx="5">
                  <c:v>108.7</c:v>
                </c:pt>
                <c:pt idx="6">
                  <c:v>114.8</c:v>
                </c:pt>
                <c:pt idx="7">
                  <c:v>119.1</c:v>
                </c:pt>
                <c:pt idx="8">
                  <c:v>115.8</c:v>
                </c:pt>
                <c:pt idx="9">
                  <c:v>115.6</c:v>
                </c:pt>
                <c:pt idx="10">
                  <c:v>110.3</c:v>
                </c:pt>
                <c:pt idx="11">
                  <c:v>112.3</c:v>
                </c:pt>
                <c:pt idx="12">
                  <c:v>119.9</c:v>
                </c:pt>
                <c:pt idx="13">
                  <c:v>109.5</c:v>
                </c:pt>
                <c:pt idx="14">
                  <c:v>106.2</c:v>
                </c:pt>
                <c:pt idx="15">
                  <c:v>103.6</c:v>
                </c:pt>
                <c:pt idx="16">
                  <c:v>107.4</c:v>
                </c:pt>
                <c:pt idx="17">
                  <c:v>108.6</c:v>
                </c:pt>
                <c:pt idx="18">
                  <c:v>115.3</c:v>
                </c:pt>
                <c:pt idx="19">
                  <c:v>116.4</c:v>
                </c:pt>
                <c:pt idx="20">
                  <c:v>120.9</c:v>
                </c:pt>
                <c:pt idx="21">
                  <c:v>106.8</c:v>
                </c:pt>
                <c:pt idx="22">
                  <c:v>109.4</c:v>
                </c:pt>
                <c:pt idx="23">
                  <c:v>113.3</c:v>
                </c:pt>
                <c:pt idx="24">
                  <c:v>124.8</c:v>
                </c:pt>
                <c:pt idx="25">
                  <c:v>123</c:v>
                </c:pt>
                <c:pt idx="26">
                  <c:v>122.3</c:v>
                </c:pt>
                <c:pt idx="27">
                  <c:v>123.2</c:v>
                </c:pt>
                <c:pt idx="28">
                  <c:v>124</c:v>
                </c:pt>
                <c:pt idx="29">
                  <c:v>116.4</c:v>
                </c:pt>
                <c:pt idx="30">
                  <c:v>123.4</c:v>
                </c:pt>
                <c:pt idx="31">
                  <c:v>119.9</c:v>
                </c:pt>
                <c:pt idx="32">
                  <c:v>122.1</c:v>
                </c:pt>
                <c:pt idx="33">
                  <c:v>117.2</c:v>
                </c:pt>
                <c:pt idx="34">
                  <c:v>114</c:v>
                </c:pt>
                <c:pt idx="35">
                  <c:v>109.6</c:v>
                </c:pt>
                <c:pt idx="36">
                  <c:v>122.5</c:v>
                </c:pt>
                <c:pt idx="37">
                  <c:v>113.4</c:v>
                </c:pt>
                <c:pt idx="38">
                  <c:v>109.9</c:v>
                </c:pt>
                <c:pt idx="39">
                  <c:v>120.8</c:v>
                </c:pt>
                <c:pt idx="40">
                  <c:v>127</c:v>
                </c:pt>
                <c:pt idx="41">
                  <c:v>122.4</c:v>
                </c:pt>
                <c:pt idx="42">
                  <c:v>123.2</c:v>
                </c:pt>
                <c:pt idx="43">
                  <c:v>122.4</c:v>
                </c:pt>
                <c:pt idx="44">
                  <c:v>123.2</c:v>
                </c:pt>
                <c:pt idx="45">
                  <c:v>121.2</c:v>
                </c:pt>
                <c:pt idx="46">
                  <c:v>124.2</c:v>
                </c:pt>
                <c:pt idx="47">
                  <c:v>120.4</c:v>
                </c:pt>
                <c:pt idx="48">
                  <c:v>126</c:v>
                </c:pt>
                <c:pt idx="49">
                  <c:v>126.8</c:v>
                </c:pt>
                <c:pt idx="50">
                  <c:v>130.4</c:v>
                </c:pt>
                <c:pt idx="51">
                  <c:v>124.4</c:v>
                </c:pt>
                <c:pt idx="52">
                  <c:v>125</c:v>
                </c:pt>
                <c:pt idx="53">
                  <c:v>125.6</c:v>
                </c:pt>
                <c:pt idx="54">
                  <c:v>128.9</c:v>
                </c:pt>
                <c:pt idx="55">
                  <c:v>127.6</c:v>
                </c:pt>
                <c:pt idx="56">
                  <c:v>126</c:v>
                </c:pt>
                <c:pt idx="57">
                  <c:v>128.9</c:v>
                </c:pt>
                <c:pt idx="58">
                  <c:v>124.8</c:v>
                </c:pt>
                <c:pt idx="59">
                  <c:v>125.5</c:v>
                </c:pt>
                <c:pt idx="60">
                  <c:v>133.19999999999999</c:v>
                </c:pt>
                <c:pt idx="61">
                  <c:v>132</c:v>
                </c:pt>
                <c:pt idx="62">
                  <c:v>121.5</c:v>
                </c:pt>
                <c:pt idx="63">
                  <c:v>119.4</c:v>
                </c:pt>
                <c:pt idx="64">
                  <c:v>119.5</c:v>
                </c:pt>
                <c:pt idx="65">
                  <c:v>118.8</c:v>
                </c:pt>
                <c:pt idx="66">
                  <c:v>116.8</c:v>
                </c:pt>
                <c:pt idx="67">
                  <c:v>120.6</c:v>
                </c:pt>
                <c:pt idx="68">
                  <c:v>114.3</c:v>
                </c:pt>
                <c:pt idx="69">
                  <c:v>105.4</c:v>
                </c:pt>
                <c:pt idx="70">
                  <c:v>110.6</c:v>
                </c:pt>
                <c:pt idx="71">
                  <c:v>117.7</c:v>
                </c:pt>
                <c:pt idx="72">
                  <c:v>124.3</c:v>
                </c:pt>
                <c:pt idx="73">
                  <c:v>124.5</c:v>
                </c:pt>
                <c:pt idx="74">
                  <c:v>124.4</c:v>
                </c:pt>
                <c:pt idx="75">
                  <c:v>120.1</c:v>
                </c:pt>
                <c:pt idx="76">
                  <c:v>106.8</c:v>
                </c:pt>
                <c:pt idx="77">
                  <c:v>115.1</c:v>
                </c:pt>
                <c:pt idx="78">
                  <c:v>118.1</c:v>
                </c:pt>
                <c:pt idx="79">
                  <c:v>103.7</c:v>
                </c:pt>
                <c:pt idx="80">
                  <c:v>108.6</c:v>
                </c:pt>
                <c:pt idx="81">
                  <c:v>115.8</c:v>
                </c:pt>
                <c:pt idx="82">
                  <c:v>111.5</c:v>
                </c:pt>
                <c:pt idx="83">
                  <c:v>117.4</c:v>
                </c:pt>
                <c:pt idx="84">
                  <c:v>123.9</c:v>
                </c:pt>
                <c:pt idx="85">
                  <c:v>123.8</c:v>
                </c:pt>
                <c:pt idx="86">
                  <c:v>120.7</c:v>
                </c:pt>
                <c:pt idx="87">
                  <c:v>124.3</c:v>
                </c:pt>
                <c:pt idx="88">
                  <c:v>122.5</c:v>
                </c:pt>
                <c:pt idx="89">
                  <c:v>122.3</c:v>
                </c:pt>
                <c:pt idx="90">
                  <c:v>126.8</c:v>
                </c:pt>
                <c:pt idx="91">
                  <c:v>125.2</c:v>
                </c:pt>
                <c:pt idx="92">
                  <c:v>118.2</c:v>
                </c:pt>
                <c:pt idx="93">
                  <c:v>126.2</c:v>
                </c:pt>
                <c:pt idx="94">
                  <c:v>124.9</c:v>
                </c:pt>
                <c:pt idx="95">
                  <c:v>126.8</c:v>
                </c:pt>
                <c:pt idx="96">
                  <c:v>118.6</c:v>
                </c:pt>
                <c:pt idx="97">
                  <c:v>115.8</c:v>
                </c:pt>
                <c:pt idx="98">
                  <c:v>109.5</c:v>
                </c:pt>
                <c:pt idx="99">
                  <c:v>100.1</c:v>
                </c:pt>
                <c:pt idx="100">
                  <c:v>97.1</c:v>
                </c:pt>
                <c:pt idx="101">
                  <c:v>90.7</c:v>
                </c:pt>
                <c:pt idx="102">
                  <c:v>92</c:v>
                </c:pt>
                <c:pt idx="103">
                  <c:v>95.1</c:v>
                </c:pt>
                <c:pt idx="104">
                  <c:v>101.2</c:v>
                </c:pt>
                <c:pt idx="105">
                  <c:v>90.4</c:v>
                </c:pt>
                <c:pt idx="106">
                  <c:v>93.1</c:v>
                </c:pt>
                <c:pt idx="107">
                  <c:v>99.8</c:v>
                </c:pt>
                <c:pt idx="108">
                  <c:v>101.1</c:v>
                </c:pt>
                <c:pt idx="109">
                  <c:v>94.9</c:v>
                </c:pt>
                <c:pt idx="110">
                  <c:v>95.8</c:v>
                </c:pt>
                <c:pt idx="111">
                  <c:v>102</c:v>
                </c:pt>
                <c:pt idx="112">
                  <c:v>101.8</c:v>
                </c:pt>
                <c:pt idx="113">
                  <c:v>109.6</c:v>
                </c:pt>
                <c:pt idx="114">
                  <c:v>114.9</c:v>
                </c:pt>
                <c:pt idx="115">
                  <c:v>121.4</c:v>
                </c:pt>
                <c:pt idx="116">
                  <c:v>122.9</c:v>
                </c:pt>
                <c:pt idx="117">
                  <c:v>127</c:v>
                </c:pt>
                <c:pt idx="118">
                  <c:v>125.9</c:v>
                </c:pt>
                <c:pt idx="119">
                  <c:v>123.2</c:v>
                </c:pt>
                <c:pt idx="120">
                  <c:v>128.69999999999999</c:v>
                </c:pt>
                <c:pt idx="121">
                  <c:v>126.3</c:v>
                </c:pt>
                <c:pt idx="122">
                  <c:v>127.6</c:v>
                </c:pt>
                <c:pt idx="123">
                  <c:v>125.4</c:v>
                </c:pt>
                <c:pt idx="124">
                  <c:v>119.9</c:v>
                </c:pt>
                <c:pt idx="125">
                  <c:v>119.2</c:v>
                </c:pt>
                <c:pt idx="126">
                  <c:v>122.5</c:v>
                </c:pt>
                <c:pt idx="127">
                  <c:v>125.6</c:v>
                </c:pt>
                <c:pt idx="128">
                  <c:v>123.5</c:v>
                </c:pt>
                <c:pt idx="129">
                  <c:v>127.5</c:v>
                </c:pt>
                <c:pt idx="130">
                  <c:v>123.7</c:v>
                </c:pt>
                <c:pt idx="131">
                  <c:v>120.6</c:v>
                </c:pt>
                <c:pt idx="132">
                  <c:v>122.3</c:v>
                </c:pt>
                <c:pt idx="133">
                  <c:v>118.5</c:v>
                </c:pt>
                <c:pt idx="134">
                  <c:v>117</c:v>
                </c:pt>
                <c:pt idx="135">
                  <c:v>119.3</c:v>
                </c:pt>
                <c:pt idx="136">
                  <c:v>117</c:v>
                </c:pt>
                <c:pt idx="137">
                  <c:v>111</c:v>
                </c:pt>
                <c:pt idx="138">
                  <c:v>108.6</c:v>
                </c:pt>
                <c:pt idx="139">
                  <c:v>107.8</c:v>
                </c:pt>
                <c:pt idx="140">
                  <c:v>112</c:v>
                </c:pt>
                <c:pt idx="141">
                  <c:v>111.3</c:v>
                </c:pt>
                <c:pt idx="142">
                  <c:v>114.6</c:v>
                </c:pt>
                <c:pt idx="143">
                  <c:v>111</c:v>
                </c:pt>
                <c:pt idx="144">
                  <c:v>117.5</c:v>
                </c:pt>
                <c:pt idx="145">
                  <c:v>114.9</c:v>
                </c:pt>
                <c:pt idx="146">
                  <c:v>111.6</c:v>
                </c:pt>
                <c:pt idx="147">
                  <c:v>110.7</c:v>
                </c:pt>
                <c:pt idx="148">
                  <c:v>110.6</c:v>
                </c:pt>
                <c:pt idx="149">
                  <c:v>109.7</c:v>
                </c:pt>
                <c:pt idx="150">
                  <c:v>109.8</c:v>
                </c:pt>
                <c:pt idx="151">
                  <c:v>113</c:v>
                </c:pt>
                <c:pt idx="152">
                  <c:v>114.1</c:v>
                </c:pt>
                <c:pt idx="153">
                  <c:v>114.8</c:v>
                </c:pt>
                <c:pt idx="154">
                  <c:v>114.1</c:v>
                </c:pt>
                <c:pt idx="155">
                  <c:v>115.7</c:v>
                </c:pt>
                <c:pt idx="156">
                  <c:v>121</c:v>
                </c:pt>
                <c:pt idx="157">
                  <c:v>119.7</c:v>
                </c:pt>
                <c:pt idx="158">
                  <c:v>121.2</c:v>
                </c:pt>
                <c:pt idx="159">
                  <c:v>121.9</c:v>
                </c:pt>
                <c:pt idx="160">
                  <c:v>115.3</c:v>
                </c:pt>
                <c:pt idx="161">
                  <c:v>114.6</c:v>
                </c:pt>
                <c:pt idx="162">
                  <c:v>116.2</c:v>
                </c:pt>
                <c:pt idx="163">
                  <c:v>115.6</c:v>
                </c:pt>
                <c:pt idx="164">
                  <c:v>122.3</c:v>
                </c:pt>
                <c:pt idx="165">
                  <c:v>121.8</c:v>
                </c:pt>
                <c:pt idx="166">
                  <c:v>121.1</c:v>
                </c:pt>
                <c:pt idx="167">
                  <c:v>116.3</c:v>
                </c:pt>
                <c:pt idx="168">
                  <c:v>116.7</c:v>
                </c:pt>
                <c:pt idx="169">
                  <c:v>113.4</c:v>
                </c:pt>
                <c:pt idx="170">
                  <c:v>112.8</c:v>
                </c:pt>
                <c:pt idx="171">
                  <c:v>113.4</c:v>
                </c:pt>
                <c:pt idx="172">
                  <c:v>102.4</c:v>
                </c:pt>
                <c:pt idx="173">
                  <c:v>103.3</c:v>
                </c:pt>
                <c:pt idx="174">
                  <c:v>109.8</c:v>
                </c:pt>
                <c:pt idx="175">
                  <c:v>112.4</c:v>
                </c:pt>
                <c:pt idx="176">
                  <c:v>112.5</c:v>
                </c:pt>
                <c:pt idx="177">
                  <c:v>112.9</c:v>
                </c:pt>
                <c:pt idx="178">
                  <c:v>114.2</c:v>
                </c:pt>
                <c:pt idx="179">
                  <c:v>112.2</c:v>
                </c:pt>
                <c:pt idx="180">
                  <c:v>112.6</c:v>
                </c:pt>
                <c:pt idx="181">
                  <c:v>111.2</c:v>
                </c:pt>
                <c:pt idx="182">
                  <c:v>111.3</c:v>
                </c:pt>
                <c:pt idx="183">
                  <c:v>110.5</c:v>
                </c:pt>
                <c:pt idx="184">
                  <c:v>111.9</c:v>
                </c:pt>
                <c:pt idx="185">
                  <c:v>113.5</c:v>
                </c:pt>
                <c:pt idx="186">
                  <c:v>111.7</c:v>
                </c:pt>
                <c:pt idx="187">
                  <c:v>112.9</c:v>
                </c:pt>
                <c:pt idx="188">
                  <c:v>110</c:v>
                </c:pt>
                <c:pt idx="189">
                  <c:v>112.4</c:v>
                </c:pt>
                <c:pt idx="190">
                  <c:v>115.3</c:v>
                </c:pt>
                <c:pt idx="191">
                  <c:v>114.8</c:v>
                </c:pt>
                <c:pt idx="192">
                  <c:v>114</c:v>
                </c:pt>
                <c:pt idx="193">
                  <c:v>112.7</c:v>
                </c:pt>
                <c:pt idx="194">
                  <c:v>114.6</c:v>
                </c:pt>
                <c:pt idx="195">
                  <c:v>113.5</c:v>
                </c:pt>
                <c:pt idx="196">
                  <c:v>114.6</c:v>
                </c:pt>
                <c:pt idx="197">
                  <c:v>116.3</c:v>
                </c:pt>
                <c:pt idx="198">
                  <c:v>115.6</c:v>
                </c:pt>
                <c:pt idx="199">
                  <c:v>118</c:v>
                </c:pt>
                <c:pt idx="200">
                  <c:v>116.6</c:v>
                </c:pt>
                <c:pt idx="201">
                  <c:v>118.5</c:v>
                </c:pt>
                <c:pt idx="202">
                  <c:v>115.9</c:v>
                </c:pt>
                <c:pt idx="203">
                  <c:v>115.8</c:v>
                </c:pt>
                <c:pt idx="204">
                  <c:v>118.6</c:v>
                </c:pt>
                <c:pt idx="205">
                  <c:v>116.7</c:v>
                </c:pt>
                <c:pt idx="206">
                  <c:v>113.2</c:v>
                </c:pt>
                <c:pt idx="207">
                  <c:v>112.2</c:v>
                </c:pt>
                <c:pt idx="208">
                  <c:v>111.1</c:v>
                </c:pt>
                <c:pt idx="209">
                  <c:v>112.5</c:v>
                </c:pt>
                <c:pt idx="210">
                  <c:v>114.7</c:v>
                </c:pt>
                <c:pt idx="211">
                  <c:v>112</c:v>
                </c:pt>
                <c:pt idx="212">
                  <c:v>113.2</c:v>
                </c:pt>
                <c:pt idx="213">
                  <c:v>113.3</c:v>
                </c:pt>
                <c:pt idx="214">
                  <c:v>114.3</c:v>
                </c:pt>
                <c:pt idx="215">
                  <c:v>115.6</c:v>
                </c:pt>
                <c:pt idx="216">
                  <c:v>121.4</c:v>
                </c:pt>
                <c:pt idx="217">
                  <c:v>118.9</c:v>
                </c:pt>
                <c:pt idx="218">
                  <c:v>117.7</c:v>
                </c:pt>
                <c:pt idx="219">
                  <c:v>116.8</c:v>
                </c:pt>
                <c:pt idx="220">
                  <c:v>119.9</c:v>
                </c:pt>
                <c:pt idx="221">
                  <c:v>120.8</c:v>
                </c:pt>
                <c:pt idx="222">
                  <c:v>120.1</c:v>
                </c:pt>
                <c:pt idx="223">
                  <c:v>116.9</c:v>
                </c:pt>
                <c:pt idx="224">
                  <c:v>117.3</c:v>
                </c:pt>
                <c:pt idx="225">
                  <c:v>116.8</c:v>
                </c:pt>
                <c:pt idx="226">
                  <c:v>117.2</c:v>
                </c:pt>
                <c:pt idx="227">
                  <c:v>118.4</c:v>
                </c:pt>
                <c:pt idx="228">
                  <c:v>116.05</c:v>
                </c:pt>
                <c:pt idx="229">
                  <c:v>115.4</c:v>
                </c:pt>
                <c:pt idx="230">
                  <c:v>112</c:v>
                </c:pt>
                <c:pt idx="231">
                  <c:v>115.7</c:v>
                </c:pt>
                <c:pt idx="232">
                  <c:v>116.7</c:v>
                </c:pt>
                <c:pt idx="233">
                  <c:v>116.1</c:v>
                </c:pt>
                <c:pt idx="234">
                  <c:v>116.6</c:v>
                </c:pt>
                <c:pt idx="235">
                  <c:v>115.7</c:v>
                </c:pt>
                <c:pt idx="236">
                  <c:v>112.8</c:v>
                </c:pt>
                <c:pt idx="237">
                  <c:v>111.9</c:v>
                </c:pt>
                <c:pt idx="238">
                  <c:v>106.8</c:v>
                </c:pt>
              </c:numCache>
            </c:numRef>
          </c:val>
          <c:smooth val="0"/>
          <c:extLst>
            <c:ext xmlns:c16="http://schemas.microsoft.com/office/drawing/2014/chart" uri="{C3380CC4-5D6E-409C-BE32-E72D297353CC}">
              <c16:uniqueId val="{00000001-579C-44B2-A229-B4FA6FB2F796}"/>
            </c:ext>
          </c:extLst>
        </c:ser>
        <c:ser>
          <c:idx val="1"/>
          <c:order val="1"/>
          <c:tx>
            <c:strRef>
              <c:f>'ANZ-RM vs Westpac CC'!$E$1</c:f>
              <c:strCache>
                <c:ptCount val="1"/>
                <c:pt idx="0">
                  <c:v>Westpac-Melb Institute Monthly</c:v>
                </c:pt>
              </c:strCache>
            </c:strRef>
          </c:tx>
          <c:spPr>
            <a:ln w="28575" cap="rnd">
              <a:solidFill>
                <a:schemeClr val="accent2"/>
              </a:solidFill>
              <a:round/>
            </a:ln>
            <a:effectLst/>
          </c:spPr>
          <c:marker>
            <c:symbol val="none"/>
          </c:marker>
          <c:dLbls>
            <c:dLbl>
              <c:idx val="23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9C-44B2-A229-B4FA6FB2F7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'ANZ-RM vs Westpac CC'!$B$2:$B$240</c:f>
              <c:numCache>
                <c:formatCode>mmm\-yy</c:formatCode>
                <c:ptCount val="239"/>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pt idx="231">
                  <c:v>43556</c:v>
                </c:pt>
                <c:pt idx="232">
                  <c:v>43586</c:v>
                </c:pt>
                <c:pt idx="233">
                  <c:v>43617</c:v>
                </c:pt>
                <c:pt idx="234">
                  <c:v>43647</c:v>
                </c:pt>
                <c:pt idx="235">
                  <c:v>43678</c:v>
                </c:pt>
                <c:pt idx="236">
                  <c:v>43709</c:v>
                </c:pt>
                <c:pt idx="237">
                  <c:v>43739</c:v>
                </c:pt>
                <c:pt idx="238">
                  <c:v>43770</c:v>
                </c:pt>
              </c:numCache>
            </c:numRef>
          </c:cat>
          <c:val>
            <c:numRef>
              <c:f>'ANZ-RM vs Westpac CC'!$E$2:$E$240</c:f>
              <c:numCache>
                <c:formatCode>0.0</c:formatCode>
                <c:ptCount val="239"/>
                <c:pt idx="0">
                  <c:v>114.92923091682715</c:v>
                </c:pt>
                <c:pt idx="1">
                  <c:v>102.17454970865785</c:v>
                </c:pt>
                <c:pt idx="2">
                  <c:v>102.86243578411995</c:v>
                </c:pt>
                <c:pt idx="3">
                  <c:v>98.492471646172746</c:v>
                </c:pt>
                <c:pt idx="4">
                  <c:v>94.83262645964939</c:v>
                </c:pt>
                <c:pt idx="5">
                  <c:v>97.884447840107015</c:v>
                </c:pt>
                <c:pt idx="6">
                  <c:v>108.94527706958949</c:v>
                </c:pt>
                <c:pt idx="7">
                  <c:v>113.55285506141031</c:v>
                </c:pt>
                <c:pt idx="8">
                  <c:v>102.44559738425603</c:v>
                </c:pt>
                <c:pt idx="9">
                  <c:v>99.705505523346105</c:v>
                </c:pt>
                <c:pt idx="10">
                  <c:v>96.200871444486182</c:v>
                </c:pt>
                <c:pt idx="11">
                  <c:v>99.202131560992299</c:v>
                </c:pt>
                <c:pt idx="12">
                  <c:v>105.18633987745402</c:v>
                </c:pt>
                <c:pt idx="13">
                  <c:v>102.69231761501612</c:v>
                </c:pt>
                <c:pt idx="14">
                  <c:v>89.08604496205507</c:v>
                </c:pt>
                <c:pt idx="15">
                  <c:v>90.242590273449352</c:v>
                </c:pt>
                <c:pt idx="16">
                  <c:v>95.004274881546934</c:v>
                </c:pt>
                <c:pt idx="17">
                  <c:v>105.98025671036382</c:v>
                </c:pt>
                <c:pt idx="18">
                  <c:v>108.22134179744619</c:v>
                </c:pt>
                <c:pt idx="19">
                  <c:v>105.20634447266184</c:v>
                </c:pt>
                <c:pt idx="20">
                  <c:v>107.63735638696002</c:v>
                </c:pt>
                <c:pt idx="21">
                  <c:v>99.487421385994935</c:v>
                </c:pt>
                <c:pt idx="22">
                  <c:v>101.9726879353907</c:v>
                </c:pt>
                <c:pt idx="23">
                  <c:v>106.77117920966286</c:v>
                </c:pt>
                <c:pt idx="24">
                  <c:v>115.50531599966898</c:v>
                </c:pt>
                <c:pt idx="25">
                  <c:v>113.69112394581536</c:v>
                </c:pt>
                <c:pt idx="26">
                  <c:v>117.83534011483587</c:v>
                </c:pt>
                <c:pt idx="27">
                  <c:v>111.5648745851197</c:v>
                </c:pt>
                <c:pt idx="28">
                  <c:v>110.30700845776937</c:v>
                </c:pt>
                <c:pt idx="29">
                  <c:v>110.835231494738</c:v>
                </c:pt>
                <c:pt idx="30">
                  <c:v>109.38192807997011</c:v>
                </c:pt>
                <c:pt idx="31">
                  <c:v>105.64108791072086</c:v>
                </c:pt>
                <c:pt idx="32">
                  <c:v>106.61726685755443</c:v>
                </c:pt>
                <c:pt idx="33">
                  <c:v>102.16876947736766</c:v>
                </c:pt>
                <c:pt idx="34">
                  <c:v>105.56608693819695</c:v>
                </c:pt>
                <c:pt idx="35">
                  <c:v>105.54143963336631</c:v>
                </c:pt>
                <c:pt idx="36">
                  <c:v>111.89388833155742</c:v>
                </c:pt>
                <c:pt idx="37">
                  <c:v>100.66890862712886</c:v>
                </c:pt>
                <c:pt idx="38">
                  <c:v>99.904808361578759</c:v>
                </c:pt>
                <c:pt idx="39">
                  <c:v>109.61312055624914</c:v>
                </c:pt>
                <c:pt idx="40">
                  <c:v>110.33337568118773</c:v>
                </c:pt>
                <c:pt idx="41">
                  <c:v>114.29050406135312</c:v>
                </c:pt>
                <c:pt idx="42">
                  <c:v>115.94778277188421</c:v>
                </c:pt>
                <c:pt idx="43">
                  <c:v>112.66066962214765</c:v>
                </c:pt>
                <c:pt idx="44">
                  <c:v>114.44202768746941</c:v>
                </c:pt>
                <c:pt idx="45">
                  <c:v>117.37333714244156</c:v>
                </c:pt>
                <c:pt idx="46">
                  <c:v>113.39603855558707</c:v>
                </c:pt>
                <c:pt idx="47">
                  <c:v>111.22832049794485</c:v>
                </c:pt>
                <c:pt idx="48">
                  <c:v>119.62445145168162</c:v>
                </c:pt>
                <c:pt idx="49">
                  <c:v>118.96997522907391</c:v>
                </c:pt>
                <c:pt idx="50">
                  <c:v>115.88322176041019</c:v>
                </c:pt>
                <c:pt idx="51">
                  <c:v>116.81898365619641</c:v>
                </c:pt>
                <c:pt idx="52">
                  <c:v>115.8342538259902</c:v>
                </c:pt>
                <c:pt idx="53">
                  <c:v>112.9056732822575</c:v>
                </c:pt>
                <c:pt idx="54">
                  <c:v>119.36198223451348</c:v>
                </c:pt>
                <c:pt idx="55">
                  <c:v>119.51325484299355</c:v>
                </c:pt>
                <c:pt idx="56">
                  <c:v>119.84860516449594</c:v>
                </c:pt>
                <c:pt idx="57">
                  <c:v>118.44405554766425</c:v>
                </c:pt>
                <c:pt idx="58">
                  <c:v>119.68150465040227</c:v>
                </c:pt>
                <c:pt idx="59">
                  <c:v>116.29952825990497</c:v>
                </c:pt>
                <c:pt idx="60">
                  <c:v>127.67021357899701</c:v>
                </c:pt>
                <c:pt idx="61">
                  <c:v>123.10372813007204</c:v>
                </c:pt>
                <c:pt idx="62">
                  <c:v>103.97691696678137</c:v>
                </c:pt>
                <c:pt idx="63">
                  <c:v>105.83207588408575</c:v>
                </c:pt>
                <c:pt idx="64">
                  <c:v>114.39786018099824</c:v>
                </c:pt>
                <c:pt idx="65">
                  <c:v>111.93994693369181</c:v>
                </c:pt>
                <c:pt idx="66">
                  <c:v>107.49583779838763</c:v>
                </c:pt>
                <c:pt idx="67">
                  <c:v>115.83472891711747</c:v>
                </c:pt>
                <c:pt idx="68">
                  <c:v>98.924713965099343</c:v>
                </c:pt>
                <c:pt idx="69">
                  <c:v>98.175687610129032</c:v>
                </c:pt>
                <c:pt idx="70">
                  <c:v>105.83533021399735</c:v>
                </c:pt>
                <c:pt idx="71">
                  <c:v>102.46161077525645</c:v>
                </c:pt>
                <c:pt idx="72">
                  <c:v>111.80037603423698</c:v>
                </c:pt>
                <c:pt idx="73">
                  <c:v>110.16856540538409</c:v>
                </c:pt>
                <c:pt idx="74">
                  <c:v>111.5206089193106</c:v>
                </c:pt>
                <c:pt idx="75">
                  <c:v>111.44074163695879</c:v>
                </c:pt>
                <c:pt idx="76">
                  <c:v>104.30791879471246</c:v>
                </c:pt>
                <c:pt idx="77">
                  <c:v>103.83649274353611</c:v>
                </c:pt>
                <c:pt idx="78">
                  <c:v>107.4</c:v>
                </c:pt>
                <c:pt idx="79">
                  <c:v>90</c:v>
                </c:pt>
                <c:pt idx="80">
                  <c:v>101.2</c:v>
                </c:pt>
                <c:pt idx="81">
                  <c:v>105.2</c:v>
                </c:pt>
                <c:pt idx="82">
                  <c:v>95</c:v>
                </c:pt>
                <c:pt idx="83">
                  <c:v>106.2</c:v>
                </c:pt>
                <c:pt idx="84">
                  <c:v>109.6</c:v>
                </c:pt>
                <c:pt idx="85">
                  <c:v>111.4</c:v>
                </c:pt>
                <c:pt idx="86">
                  <c:v>115.5</c:v>
                </c:pt>
                <c:pt idx="87">
                  <c:v>115.3</c:v>
                </c:pt>
                <c:pt idx="88">
                  <c:v>123.9</c:v>
                </c:pt>
                <c:pt idx="89">
                  <c:v>121.5</c:v>
                </c:pt>
                <c:pt idx="90">
                  <c:v>120.8</c:v>
                </c:pt>
                <c:pt idx="91">
                  <c:v>111.0548821458447</c:v>
                </c:pt>
                <c:pt idx="92">
                  <c:v>115.71926781885979</c:v>
                </c:pt>
                <c:pt idx="93">
                  <c:v>115.3</c:v>
                </c:pt>
                <c:pt idx="94">
                  <c:v>110.5</c:v>
                </c:pt>
                <c:pt idx="95">
                  <c:v>112.5</c:v>
                </c:pt>
                <c:pt idx="96">
                  <c:v>103.1</c:v>
                </c:pt>
                <c:pt idx="97">
                  <c:v>97.4</c:v>
                </c:pt>
                <c:pt idx="98">
                  <c:v>88.6</c:v>
                </c:pt>
                <c:pt idx="99">
                  <c:v>87.4</c:v>
                </c:pt>
                <c:pt idx="100">
                  <c:v>89.8</c:v>
                </c:pt>
                <c:pt idx="101">
                  <c:v>84.7</c:v>
                </c:pt>
                <c:pt idx="102">
                  <c:v>79</c:v>
                </c:pt>
                <c:pt idx="103">
                  <c:v>86.2</c:v>
                </c:pt>
                <c:pt idx="104">
                  <c:v>92.2</c:v>
                </c:pt>
                <c:pt idx="105">
                  <c:v>82</c:v>
                </c:pt>
                <c:pt idx="106">
                  <c:v>85.5</c:v>
                </c:pt>
                <c:pt idx="107">
                  <c:v>92</c:v>
                </c:pt>
                <c:pt idx="108">
                  <c:v>89.9</c:v>
                </c:pt>
                <c:pt idx="109">
                  <c:v>85.8</c:v>
                </c:pt>
                <c:pt idx="110">
                  <c:v>85.6</c:v>
                </c:pt>
                <c:pt idx="111">
                  <c:v>92.7</c:v>
                </c:pt>
                <c:pt idx="112">
                  <c:v>88.8</c:v>
                </c:pt>
                <c:pt idx="113">
                  <c:v>100.1</c:v>
                </c:pt>
                <c:pt idx="114">
                  <c:v>109.4</c:v>
                </c:pt>
                <c:pt idx="115">
                  <c:v>113.4</c:v>
                </c:pt>
                <c:pt idx="116">
                  <c:v>119.3</c:v>
                </c:pt>
                <c:pt idx="117">
                  <c:v>121.4</c:v>
                </c:pt>
                <c:pt idx="118">
                  <c:v>118.3</c:v>
                </c:pt>
                <c:pt idx="119">
                  <c:v>113.8</c:v>
                </c:pt>
                <c:pt idx="120">
                  <c:v>120.1</c:v>
                </c:pt>
                <c:pt idx="121">
                  <c:v>117</c:v>
                </c:pt>
                <c:pt idx="122">
                  <c:v>117.3</c:v>
                </c:pt>
                <c:pt idx="123">
                  <c:v>116.1</c:v>
                </c:pt>
                <c:pt idx="124">
                  <c:v>108</c:v>
                </c:pt>
                <c:pt idx="125">
                  <c:v>101.9</c:v>
                </c:pt>
                <c:pt idx="126">
                  <c:v>113.1</c:v>
                </c:pt>
                <c:pt idx="127">
                  <c:v>119.2</c:v>
                </c:pt>
                <c:pt idx="128">
                  <c:v>113.2</c:v>
                </c:pt>
                <c:pt idx="129">
                  <c:v>117</c:v>
                </c:pt>
                <c:pt idx="130">
                  <c:v>110.7</c:v>
                </c:pt>
                <c:pt idx="131">
                  <c:v>111</c:v>
                </c:pt>
                <c:pt idx="132">
                  <c:v>104.6</c:v>
                </c:pt>
                <c:pt idx="133">
                  <c:v>106.6</c:v>
                </c:pt>
                <c:pt idx="134">
                  <c:v>104.1</c:v>
                </c:pt>
                <c:pt idx="135">
                  <c:v>105.3</c:v>
                </c:pt>
                <c:pt idx="136">
                  <c:v>103.9</c:v>
                </c:pt>
                <c:pt idx="137">
                  <c:v>101.2</c:v>
                </c:pt>
                <c:pt idx="138">
                  <c:v>92.8</c:v>
                </c:pt>
                <c:pt idx="139">
                  <c:v>89.6</c:v>
                </c:pt>
                <c:pt idx="140">
                  <c:v>96.9</c:v>
                </c:pt>
                <c:pt idx="141">
                  <c:v>97.2</c:v>
                </c:pt>
                <c:pt idx="142">
                  <c:v>103.4</c:v>
                </c:pt>
                <c:pt idx="143">
                  <c:v>94.7</c:v>
                </c:pt>
                <c:pt idx="144">
                  <c:v>97.1</c:v>
                </c:pt>
                <c:pt idx="145">
                  <c:v>101.1</c:v>
                </c:pt>
                <c:pt idx="146">
                  <c:v>96.1</c:v>
                </c:pt>
                <c:pt idx="147">
                  <c:v>94.5</c:v>
                </c:pt>
                <c:pt idx="148">
                  <c:v>95.3</c:v>
                </c:pt>
                <c:pt idx="149">
                  <c:v>95.6</c:v>
                </c:pt>
                <c:pt idx="150">
                  <c:v>99.1</c:v>
                </c:pt>
                <c:pt idx="151">
                  <c:v>96.6</c:v>
                </c:pt>
                <c:pt idx="152">
                  <c:v>98.2</c:v>
                </c:pt>
                <c:pt idx="153">
                  <c:v>99.2</c:v>
                </c:pt>
                <c:pt idx="154">
                  <c:v>104.3</c:v>
                </c:pt>
                <c:pt idx="155">
                  <c:v>100</c:v>
                </c:pt>
                <c:pt idx="156">
                  <c:v>100.6</c:v>
                </c:pt>
                <c:pt idx="157">
                  <c:v>108.3</c:v>
                </c:pt>
                <c:pt idx="158">
                  <c:v>110.5</c:v>
                </c:pt>
                <c:pt idx="159">
                  <c:v>104.9</c:v>
                </c:pt>
                <c:pt idx="160">
                  <c:v>97.6</c:v>
                </c:pt>
                <c:pt idx="161">
                  <c:v>102.2</c:v>
                </c:pt>
                <c:pt idx="162">
                  <c:v>102.1</c:v>
                </c:pt>
                <c:pt idx="163">
                  <c:v>105.7</c:v>
                </c:pt>
                <c:pt idx="164">
                  <c:v>110.6</c:v>
                </c:pt>
                <c:pt idx="165">
                  <c:v>108.3</c:v>
                </c:pt>
                <c:pt idx="166">
                  <c:v>110.3</c:v>
                </c:pt>
                <c:pt idx="167">
                  <c:v>105</c:v>
                </c:pt>
                <c:pt idx="168">
                  <c:v>103.3</c:v>
                </c:pt>
                <c:pt idx="169">
                  <c:v>100.2</c:v>
                </c:pt>
                <c:pt idx="170">
                  <c:v>99.5</c:v>
                </c:pt>
                <c:pt idx="171">
                  <c:v>99.7</c:v>
                </c:pt>
                <c:pt idx="172">
                  <c:v>92.9</c:v>
                </c:pt>
                <c:pt idx="173">
                  <c:v>93.2</c:v>
                </c:pt>
                <c:pt idx="174">
                  <c:v>94.9</c:v>
                </c:pt>
                <c:pt idx="175">
                  <c:v>98.5</c:v>
                </c:pt>
                <c:pt idx="176">
                  <c:v>94</c:v>
                </c:pt>
                <c:pt idx="177">
                  <c:v>94.8</c:v>
                </c:pt>
                <c:pt idx="178">
                  <c:v>96.6</c:v>
                </c:pt>
                <c:pt idx="179">
                  <c:v>91.1</c:v>
                </c:pt>
                <c:pt idx="180">
                  <c:v>93.2</c:v>
                </c:pt>
                <c:pt idx="181">
                  <c:v>100.7</c:v>
                </c:pt>
                <c:pt idx="182">
                  <c:v>99.5</c:v>
                </c:pt>
                <c:pt idx="183">
                  <c:v>96.2</c:v>
                </c:pt>
                <c:pt idx="184">
                  <c:v>102.4</c:v>
                </c:pt>
                <c:pt idx="185">
                  <c:v>95.3</c:v>
                </c:pt>
                <c:pt idx="186">
                  <c:v>92.2</c:v>
                </c:pt>
                <c:pt idx="187">
                  <c:v>99.5</c:v>
                </c:pt>
                <c:pt idx="188">
                  <c:v>93.9</c:v>
                </c:pt>
                <c:pt idx="189">
                  <c:v>97.8</c:v>
                </c:pt>
                <c:pt idx="190">
                  <c:v>101.7</c:v>
                </c:pt>
                <c:pt idx="191">
                  <c:v>100.8</c:v>
                </c:pt>
                <c:pt idx="192">
                  <c:v>97.3</c:v>
                </c:pt>
                <c:pt idx="193">
                  <c:v>101.3</c:v>
                </c:pt>
                <c:pt idx="194">
                  <c:v>99.1</c:v>
                </c:pt>
                <c:pt idx="195">
                  <c:v>95.1</c:v>
                </c:pt>
                <c:pt idx="196">
                  <c:v>103.2</c:v>
                </c:pt>
                <c:pt idx="197">
                  <c:v>102.2</c:v>
                </c:pt>
                <c:pt idx="198">
                  <c:v>99.1</c:v>
                </c:pt>
                <c:pt idx="199">
                  <c:v>101</c:v>
                </c:pt>
                <c:pt idx="200">
                  <c:v>101.4</c:v>
                </c:pt>
                <c:pt idx="201">
                  <c:v>102.4</c:v>
                </c:pt>
                <c:pt idx="202">
                  <c:v>101.3</c:v>
                </c:pt>
                <c:pt idx="203">
                  <c:v>97.3</c:v>
                </c:pt>
                <c:pt idx="204">
                  <c:v>97.4</c:v>
                </c:pt>
                <c:pt idx="205">
                  <c:v>99.6</c:v>
                </c:pt>
                <c:pt idx="206">
                  <c:v>99.7</c:v>
                </c:pt>
                <c:pt idx="207">
                  <c:v>99</c:v>
                </c:pt>
                <c:pt idx="208">
                  <c:v>98</c:v>
                </c:pt>
                <c:pt idx="209">
                  <c:v>96.2</c:v>
                </c:pt>
                <c:pt idx="210">
                  <c:v>96.6</c:v>
                </c:pt>
                <c:pt idx="211">
                  <c:v>95.5</c:v>
                </c:pt>
                <c:pt idx="212">
                  <c:v>97.9</c:v>
                </c:pt>
                <c:pt idx="213">
                  <c:v>101.4</c:v>
                </c:pt>
                <c:pt idx="214">
                  <c:v>99.7</c:v>
                </c:pt>
                <c:pt idx="215">
                  <c:v>103.3</c:v>
                </c:pt>
                <c:pt idx="216">
                  <c:v>105.1</c:v>
                </c:pt>
                <c:pt idx="217">
                  <c:v>102.7</c:v>
                </c:pt>
                <c:pt idx="218">
                  <c:v>103</c:v>
                </c:pt>
                <c:pt idx="219">
                  <c:v>102.4</c:v>
                </c:pt>
                <c:pt idx="220">
                  <c:v>101.8</c:v>
                </c:pt>
                <c:pt idx="221">
                  <c:v>102.2</c:v>
                </c:pt>
                <c:pt idx="222">
                  <c:v>106.1</c:v>
                </c:pt>
                <c:pt idx="223">
                  <c:v>103.6</c:v>
                </c:pt>
                <c:pt idx="224">
                  <c:v>100.5</c:v>
                </c:pt>
                <c:pt idx="225">
                  <c:v>101.5</c:v>
                </c:pt>
                <c:pt idx="226">
                  <c:v>104.3</c:v>
                </c:pt>
                <c:pt idx="227">
                  <c:v>104.4</c:v>
                </c:pt>
                <c:pt idx="228">
                  <c:v>99.6</c:v>
                </c:pt>
                <c:pt idx="229">
                  <c:v>103.8</c:v>
                </c:pt>
                <c:pt idx="230">
                  <c:v>98.8</c:v>
                </c:pt>
                <c:pt idx="231">
                  <c:v>100.7</c:v>
                </c:pt>
                <c:pt idx="232">
                  <c:v>101.3</c:v>
                </c:pt>
                <c:pt idx="233">
                  <c:v>100.7</c:v>
                </c:pt>
                <c:pt idx="234">
                  <c:v>96.5</c:v>
                </c:pt>
                <c:pt idx="235">
                  <c:v>100</c:v>
                </c:pt>
                <c:pt idx="236">
                  <c:v>98.2</c:v>
                </c:pt>
                <c:pt idx="237">
                  <c:v>92.8</c:v>
                </c:pt>
                <c:pt idx="238">
                  <c:v>97</c:v>
                </c:pt>
              </c:numCache>
            </c:numRef>
          </c:val>
          <c:smooth val="0"/>
          <c:extLst>
            <c:ext xmlns:c16="http://schemas.microsoft.com/office/drawing/2014/chart" uri="{C3380CC4-5D6E-409C-BE32-E72D297353CC}">
              <c16:uniqueId val="{00000003-579C-44B2-A229-B4FA6FB2F796}"/>
            </c:ext>
          </c:extLst>
        </c:ser>
        <c:dLbls>
          <c:showLegendKey val="0"/>
          <c:showVal val="0"/>
          <c:showCatName val="0"/>
          <c:showSerName val="0"/>
          <c:showPercent val="0"/>
          <c:showBubbleSize val="0"/>
        </c:dLbls>
        <c:smooth val="0"/>
        <c:axId val="200535040"/>
        <c:axId val="204342016"/>
      </c:lineChart>
      <c:dateAx>
        <c:axId val="200535040"/>
        <c:scaling>
          <c:orientation val="minMax"/>
          <c:max val="43800"/>
          <c:min val="36831"/>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45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42016"/>
        <c:crosses val="autoZero"/>
        <c:auto val="1"/>
        <c:lblOffset val="100"/>
        <c:baseTimeUnit val="months"/>
        <c:majorUnit val="12"/>
        <c:majorTimeUnit val="months"/>
        <c:minorUnit val="6"/>
        <c:minorTimeUnit val="months"/>
      </c:dateAx>
      <c:valAx>
        <c:axId val="204342016"/>
        <c:scaling>
          <c:orientation val="minMax"/>
          <c:max val="140"/>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Indices score</a:t>
                </a:r>
              </a:p>
            </c:rich>
          </c:tx>
          <c:layout>
            <c:manualLayout>
              <c:xMode val="edge"/>
              <c:yMode val="edge"/>
              <c:x val="2.3296447291788003E-3"/>
              <c:y val="0.36461083945448886"/>
            </c:manualLayout>
          </c:layout>
          <c:overlay val="0"/>
          <c:spPr>
            <a:solidFill>
              <a:schemeClr val="bg1"/>
            </a:solid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9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5040"/>
        <c:crosses val="autoZero"/>
        <c:crossBetween val="between"/>
      </c:valAx>
      <c:spPr>
        <a:noFill/>
        <a:ln>
          <a:noFill/>
        </a:ln>
        <a:effectLst/>
      </c:spPr>
    </c:plotArea>
    <c:legend>
      <c:legendPos val="b"/>
      <c:layout>
        <c:manualLayout>
          <c:xMode val="edge"/>
          <c:yMode val="edge"/>
          <c:x val="8.1958919375031511E-2"/>
          <c:y val="0.78334079382470256"/>
          <c:w val="0.78897447601658488"/>
          <c:h val="6.50619562762369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Change in Retail Spending from Previous Month, Seasonally</a:t>
            </a:r>
            <a:r>
              <a:rPr lang="en-GB" baseline="0"/>
              <a:t> Adjusted Dec 2014-2019</a:t>
            </a:r>
          </a:p>
          <a:p>
            <a:pPr>
              <a:defRPr/>
            </a:pPr>
            <a:endParaRPr lang="en-GB"/>
          </a:p>
        </c:rich>
      </c:tx>
      <c:layout>
        <c:manualLayout>
          <c:xMode val="edge"/>
          <c:yMode val="edge"/>
          <c:x val="0.149533874490854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18032213788712E-2"/>
          <c:y val="0.11799856042925383"/>
          <c:w val="0.93999356403553058"/>
          <c:h val="0.86678670360110799"/>
        </c:manualLayout>
      </c:layout>
      <c:barChart>
        <c:barDir val="col"/>
        <c:grouping val="clustered"/>
        <c:varyColors val="0"/>
        <c:ser>
          <c:idx val="0"/>
          <c:order val="0"/>
          <c:spPr>
            <a:solidFill>
              <a:schemeClr val="accent1"/>
            </a:solidFill>
            <a:ln>
              <a:noFill/>
            </a:ln>
            <a:effectLst/>
          </c:spPr>
          <c:invertIfNegative val="0"/>
          <c:cat>
            <c:numRef>
              <c:f>Data1!$A$403:$A$463</c:f>
              <c:numCache>
                <c:formatCode>mmm\-yyyy</c:formatCode>
                <c:ptCount val="61"/>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pt idx="18">
                  <c:v>42522</c:v>
                </c:pt>
                <c:pt idx="19">
                  <c:v>42552</c:v>
                </c:pt>
                <c:pt idx="20">
                  <c:v>42583</c:v>
                </c:pt>
                <c:pt idx="21">
                  <c:v>42614</c:v>
                </c:pt>
                <c:pt idx="22">
                  <c:v>42644</c:v>
                </c:pt>
                <c:pt idx="23">
                  <c:v>42675</c:v>
                </c:pt>
                <c:pt idx="24">
                  <c:v>42705</c:v>
                </c:pt>
                <c:pt idx="25">
                  <c:v>42736</c:v>
                </c:pt>
                <c:pt idx="26">
                  <c:v>42767</c:v>
                </c:pt>
                <c:pt idx="27">
                  <c:v>42795</c:v>
                </c:pt>
                <c:pt idx="28">
                  <c:v>42826</c:v>
                </c:pt>
                <c:pt idx="29">
                  <c:v>42856</c:v>
                </c:pt>
                <c:pt idx="30">
                  <c:v>42887</c:v>
                </c:pt>
                <c:pt idx="31">
                  <c:v>42917</c:v>
                </c:pt>
                <c:pt idx="32">
                  <c:v>42948</c:v>
                </c:pt>
                <c:pt idx="33">
                  <c:v>42979</c:v>
                </c:pt>
                <c:pt idx="34">
                  <c:v>43009</c:v>
                </c:pt>
                <c:pt idx="35">
                  <c:v>43040</c:v>
                </c:pt>
                <c:pt idx="36">
                  <c:v>43070</c:v>
                </c:pt>
                <c:pt idx="37">
                  <c:v>43101</c:v>
                </c:pt>
                <c:pt idx="38">
                  <c:v>43132</c:v>
                </c:pt>
                <c:pt idx="39">
                  <c:v>43160</c:v>
                </c:pt>
                <c:pt idx="40">
                  <c:v>43191</c:v>
                </c:pt>
                <c:pt idx="41">
                  <c:v>43221</c:v>
                </c:pt>
                <c:pt idx="42">
                  <c:v>43252</c:v>
                </c:pt>
                <c:pt idx="43">
                  <c:v>43282</c:v>
                </c:pt>
                <c:pt idx="44">
                  <c:v>43313</c:v>
                </c:pt>
                <c:pt idx="45">
                  <c:v>43344</c:v>
                </c:pt>
                <c:pt idx="46">
                  <c:v>43374</c:v>
                </c:pt>
                <c:pt idx="47">
                  <c:v>43405</c:v>
                </c:pt>
                <c:pt idx="48">
                  <c:v>43435</c:v>
                </c:pt>
                <c:pt idx="49">
                  <c:v>43466</c:v>
                </c:pt>
                <c:pt idx="50">
                  <c:v>43497</c:v>
                </c:pt>
                <c:pt idx="51">
                  <c:v>43525</c:v>
                </c:pt>
                <c:pt idx="52">
                  <c:v>43556</c:v>
                </c:pt>
                <c:pt idx="53">
                  <c:v>43586</c:v>
                </c:pt>
                <c:pt idx="54">
                  <c:v>43617</c:v>
                </c:pt>
                <c:pt idx="55">
                  <c:v>43647</c:v>
                </c:pt>
                <c:pt idx="56">
                  <c:v>43678</c:v>
                </c:pt>
                <c:pt idx="57">
                  <c:v>43709</c:v>
                </c:pt>
                <c:pt idx="58">
                  <c:v>43739</c:v>
                </c:pt>
                <c:pt idx="59">
                  <c:v>43770</c:v>
                </c:pt>
                <c:pt idx="60">
                  <c:v>43800</c:v>
                </c:pt>
              </c:numCache>
            </c:numRef>
          </c:cat>
          <c:val>
            <c:numRef>
              <c:f>Data1!$B$403:$B$463</c:f>
              <c:numCache>
                <c:formatCode>0.0;\-0.0;0.0;@</c:formatCode>
                <c:ptCount val="61"/>
                <c:pt idx="0">
                  <c:v>0.3</c:v>
                </c:pt>
                <c:pt idx="1">
                  <c:v>0.6</c:v>
                </c:pt>
                <c:pt idx="2">
                  <c:v>0.7</c:v>
                </c:pt>
                <c:pt idx="3">
                  <c:v>0</c:v>
                </c:pt>
                <c:pt idx="4">
                  <c:v>0.2</c:v>
                </c:pt>
                <c:pt idx="5">
                  <c:v>0.2</c:v>
                </c:pt>
                <c:pt idx="6">
                  <c:v>0.7</c:v>
                </c:pt>
                <c:pt idx="7">
                  <c:v>0.2</c:v>
                </c:pt>
                <c:pt idx="8">
                  <c:v>0.5</c:v>
                </c:pt>
                <c:pt idx="9">
                  <c:v>0.3</c:v>
                </c:pt>
                <c:pt idx="10">
                  <c:v>0.4</c:v>
                </c:pt>
                <c:pt idx="11">
                  <c:v>0.3</c:v>
                </c:pt>
                <c:pt idx="12">
                  <c:v>0.2</c:v>
                </c:pt>
                <c:pt idx="13">
                  <c:v>0.4</c:v>
                </c:pt>
                <c:pt idx="14">
                  <c:v>0</c:v>
                </c:pt>
                <c:pt idx="15">
                  <c:v>0.5</c:v>
                </c:pt>
                <c:pt idx="16">
                  <c:v>-0.1</c:v>
                </c:pt>
                <c:pt idx="17">
                  <c:v>-0.1</c:v>
                </c:pt>
                <c:pt idx="18">
                  <c:v>0.4</c:v>
                </c:pt>
                <c:pt idx="19">
                  <c:v>0</c:v>
                </c:pt>
                <c:pt idx="20">
                  <c:v>0.8</c:v>
                </c:pt>
                <c:pt idx="21">
                  <c:v>0.9</c:v>
                </c:pt>
                <c:pt idx="22">
                  <c:v>0</c:v>
                </c:pt>
                <c:pt idx="23">
                  <c:v>0.3</c:v>
                </c:pt>
                <c:pt idx="24">
                  <c:v>0.1</c:v>
                </c:pt>
                <c:pt idx="25">
                  <c:v>0.3</c:v>
                </c:pt>
                <c:pt idx="26">
                  <c:v>-0.4</c:v>
                </c:pt>
                <c:pt idx="27">
                  <c:v>0</c:v>
                </c:pt>
                <c:pt idx="28">
                  <c:v>0.9</c:v>
                </c:pt>
                <c:pt idx="29">
                  <c:v>0.4</c:v>
                </c:pt>
                <c:pt idx="30">
                  <c:v>0.2</c:v>
                </c:pt>
                <c:pt idx="31">
                  <c:v>-0.1</c:v>
                </c:pt>
                <c:pt idx="32">
                  <c:v>-0.5</c:v>
                </c:pt>
                <c:pt idx="33">
                  <c:v>0.1</c:v>
                </c:pt>
                <c:pt idx="34">
                  <c:v>0.3</c:v>
                </c:pt>
                <c:pt idx="35">
                  <c:v>1.1000000000000001</c:v>
                </c:pt>
                <c:pt idx="36">
                  <c:v>0.1</c:v>
                </c:pt>
                <c:pt idx="37">
                  <c:v>-0.1</c:v>
                </c:pt>
                <c:pt idx="38">
                  <c:v>0.4</c:v>
                </c:pt>
                <c:pt idx="39">
                  <c:v>0</c:v>
                </c:pt>
                <c:pt idx="40">
                  <c:v>0.5</c:v>
                </c:pt>
                <c:pt idx="41">
                  <c:v>0.5</c:v>
                </c:pt>
                <c:pt idx="42">
                  <c:v>0.2</c:v>
                </c:pt>
                <c:pt idx="43">
                  <c:v>0.2</c:v>
                </c:pt>
                <c:pt idx="44">
                  <c:v>0.4</c:v>
                </c:pt>
                <c:pt idx="45">
                  <c:v>0.1</c:v>
                </c:pt>
                <c:pt idx="46">
                  <c:v>0.4</c:v>
                </c:pt>
                <c:pt idx="47">
                  <c:v>0</c:v>
                </c:pt>
                <c:pt idx="48">
                  <c:v>0</c:v>
                </c:pt>
                <c:pt idx="49">
                  <c:v>0</c:v>
                </c:pt>
                <c:pt idx="50">
                  <c:v>0.7</c:v>
                </c:pt>
                <c:pt idx="51">
                  <c:v>0.3</c:v>
                </c:pt>
                <c:pt idx="52">
                  <c:v>-0.1</c:v>
                </c:pt>
                <c:pt idx="53">
                  <c:v>0.2</c:v>
                </c:pt>
                <c:pt idx="54">
                  <c:v>0.2</c:v>
                </c:pt>
                <c:pt idx="55">
                  <c:v>0</c:v>
                </c:pt>
                <c:pt idx="56">
                  <c:v>0.5</c:v>
                </c:pt>
                <c:pt idx="57">
                  <c:v>0.2</c:v>
                </c:pt>
                <c:pt idx="58">
                  <c:v>0.1</c:v>
                </c:pt>
                <c:pt idx="59">
                  <c:v>1</c:v>
                </c:pt>
                <c:pt idx="60">
                  <c:v>-0.5</c:v>
                </c:pt>
              </c:numCache>
            </c:numRef>
          </c:val>
          <c:extLst>
            <c:ext xmlns:c16="http://schemas.microsoft.com/office/drawing/2014/chart" uri="{C3380CC4-5D6E-409C-BE32-E72D297353CC}">
              <c16:uniqueId val="{00000000-695D-E84C-93A6-1080691CE226}"/>
            </c:ext>
          </c:extLst>
        </c:ser>
        <c:dLbls>
          <c:showLegendKey val="0"/>
          <c:showVal val="0"/>
          <c:showCatName val="0"/>
          <c:showSerName val="0"/>
          <c:showPercent val="0"/>
          <c:showBubbleSize val="0"/>
        </c:dLbls>
        <c:gapWidth val="150"/>
        <c:axId val="890755392"/>
        <c:axId val="890757024"/>
      </c:barChart>
      <c:dateAx>
        <c:axId val="890755392"/>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757024"/>
        <c:crosses val="autoZero"/>
        <c:auto val="1"/>
        <c:lblOffset val="100"/>
        <c:baseTimeUnit val="months"/>
      </c:dateAx>
      <c:valAx>
        <c:axId val="89075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Change Per from Previous Month</a:t>
                </a:r>
                <a:r>
                  <a:rPr lang="en-GB"/>
                  <a:t>Axis Title</a:t>
                </a:r>
              </a:p>
            </c:rich>
          </c:tx>
          <c:layout>
            <c:manualLayout>
              <c:xMode val="edge"/>
              <c:yMode val="edge"/>
              <c:x val="4.6602894285013491E-2"/>
              <c:y val="0.21408587662805886"/>
            </c:manualLayout>
          </c:layout>
          <c:overlay val="0"/>
          <c:spPr>
            <a:solidFill>
              <a:schemeClr val="bg1"/>
            </a:solid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89075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 Retail Turnover Per Capita: 5 Years</a:t>
            </a:r>
            <a:r>
              <a:rPr lang="en-US" sz="1100" baseline="0"/>
              <a:t> to September 2019</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Data1!$J$134</c:f>
              <c:strCache>
                <c:ptCount val="1"/>
                <c:pt idx="0">
                  <c:v>$ Retail Turnover Per Capita</c:v>
                </c:pt>
              </c:strCache>
            </c:strRef>
          </c:tx>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76-4441-8451-6EF327652BC0}"/>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76-4441-8451-6EF327652B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Data1!$I$135:$I$155</c:f>
              <c:numCache>
                <c:formatCode>mmm\-yyyy</c:formatCode>
                <c:ptCount val="21"/>
                <c:pt idx="0">
                  <c:v>41883</c:v>
                </c:pt>
                <c:pt idx="1">
                  <c:v>41974</c:v>
                </c:pt>
                <c:pt idx="2">
                  <c:v>42064</c:v>
                </c:pt>
                <c:pt idx="3">
                  <c:v>42156</c:v>
                </c:pt>
                <c:pt idx="4">
                  <c:v>42248</c:v>
                </c:pt>
                <c:pt idx="5">
                  <c:v>42339</c:v>
                </c:pt>
                <c:pt idx="6">
                  <c:v>42430</c:v>
                </c:pt>
                <c:pt idx="7">
                  <c:v>42522</c:v>
                </c:pt>
                <c:pt idx="8">
                  <c:v>42614</c:v>
                </c:pt>
                <c:pt idx="9">
                  <c:v>42705</c:v>
                </c:pt>
                <c:pt idx="10">
                  <c:v>42795</c:v>
                </c:pt>
                <c:pt idx="11">
                  <c:v>42887</c:v>
                </c:pt>
                <c:pt idx="12">
                  <c:v>42979</c:v>
                </c:pt>
                <c:pt idx="13">
                  <c:v>43070</c:v>
                </c:pt>
                <c:pt idx="14">
                  <c:v>43160</c:v>
                </c:pt>
                <c:pt idx="15">
                  <c:v>43252</c:v>
                </c:pt>
                <c:pt idx="16">
                  <c:v>43344</c:v>
                </c:pt>
                <c:pt idx="17">
                  <c:v>43435</c:v>
                </c:pt>
                <c:pt idx="18">
                  <c:v>43525</c:v>
                </c:pt>
                <c:pt idx="19">
                  <c:v>43617</c:v>
                </c:pt>
                <c:pt idx="20">
                  <c:v>43709</c:v>
                </c:pt>
              </c:numCache>
            </c:numRef>
          </c:cat>
          <c:val>
            <c:numRef>
              <c:f>Data1!$J$135:$J$155</c:f>
              <c:numCache>
                <c:formatCode>0.0;\-0.0;0.0;@</c:formatCode>
                <c:ptCount val="21"/>
                <c:pt idx="0">
                  <c:v>3039.3</c:v>
                </c:pt>
                <c:pt idx="1">
                  <c:v>3073.2</c:v>
                </c:pt>
                <c:pt idx="2">
                  <c:v>3094.5</c:v>
                </c:pt>
                <c:pt idx="3">
                  <c:v>3099.9</c:v>
                </c:pt>
                <c:pt idx="4">
                  <c:v>3128.4</c:v>
                </c:pt>
                <c:pt idx="5">
                  <c:v>3139.3</c:v>
                </c:pt>
                <c:pt idx="6">
                  <c:v>3158.6</c:v>
                </c:pt>
                <c:pt idx="7">
                  <c:v>3144.1</c:v>
                </c:pt>
                <c:pt idx="8">
                  <c:v>3130</c:v>
                </c:pt>
                <c:pt idx="9">
                  <c:v>3151.6</c:v>
                </c:pt>
                <c:pt idx="10">
                  <c:v>3144.2</c:v>
                </c:pt>
                <c:pt idx="11">
                  <c:v>3167.7</c:v>
                </c:pt>
                <c:pt idx="12">
                  <c:v>3165.3</c:v>
                </c:pt>
                <c:pt idx="13">
                  <c:v>3177.7</c:v>
                </c:pt>
                <c:pt idx="14">
                  <c:v>3177.4</c:v>
                </c:pt>
                <c:pt idx="15">
                  <c:v>3193</c:v>
                </c:pt>
                <c:pt idx="16">
                  <c:v>3188.1</c:v>
                </c:pt>
                <c:pt idx="17">
                  <c:v>3172.2</c:v>
                </c:pt>
                <c:pt idx="18">
                  <c:v>3161.4</c:v>
                </c:pt>
                <c:pt idx="19">
                  <c:v>3150.6</c:v>
                </c:pt>
                <c:pt idx="20">
                  <c:v>3134.7</c:v>
                </c:pt>
              </c:numCache>
            </c:numRef>
          </c:val>
          <c:smooth val="0"/>
          <c:extLst>
            <c:ext xmlns:c16="http://schemas.microsoft.com/office/drawing/2014/chart" uri="{C3380CC4-5D6E-409C-BE32-E72D297353CC}">
              <c16:uniqueId val="{00000002-3476-4441-8451-6EF327652BC0}"/>
            </c:ext>
          </c:extLst>
        </c:ser>
        <c:dLbls>
          <c:showLegendKey val="0"/>
          <c:showVal val="0"/>
          <c:showCatName val="0"/>
          <c:showSerName val="0"/>
          <c:showPercent val="0"/>
          <c:showBubbleSize val="0"/>
        </c:dLbls>
        <c:smooth val="0"/>
        <c:axId val="909834432"/>
        <c:axId val="909839952"/>
      </c:lineChart>
      <c:dateAx>
        <c:axId val="909834432"/>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839952"/>
        <c:crosses val="autoZero"/>
        <c:auto val="1"/>
        <c:lblOffset val="100"/>
        <c:baseTimeUnit val="months"/>
      </c:dateAx>
      <c:valAx>
        <c:axId val="90983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$'000 Per Capita</a:t>
                </a:r>
              </a:p>
            </c:rich>
          </c:tx>
          <c:layout>
            <c:manualLayout>
              <c:xMode val="edge"/>
              <c:yMode val="edge"/>
              <c:x val="2.6167735182519952E-2"/>
              <c:y val="0.317308015293571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83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Department Store</a:t>
            </a:r>
            <a:r>
              <a:rPr lang="en-US" sz="1100" baseline="0"/>
              <a:t> 10 Year Turnover: % Change From Preceding Month (Trend)</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'Retail Spending'!$F$4</c:f>
              <c:strCache>
                <c:ptCount val="1"/>
                <c:pt idx="0">
                  <c:v>Department Stores</c:v>
                </c:pt>
              </c:strCache>
            </c:strRef>
          </c:tx>
          <c:spPr>
            <a:ln w="28575" cap="rnd">
              <a:solidFill>
                <a:schemeClr val="accent1"/>
              </a:solidFill>
              <a:round/>
            </a:ln>
            <a:effectLst/>
          </c:spPr>
          <c:marker>
            <c:symbol val="none"/>
          </c:marker>
          <c:cat>
            <c:numRef>
              <c:f>'Retail Spending'!$E$5:$E$125</c:f>
              <c:numCache>
                <c:formatCode>mmm\-yyyy</c:formatCode>
                <c:ptCount val="121"/>
                <c:pt idx="0">
                  <c:v>40118</c:v>
                </c:pt>
                <c:pt idx="1">
                  <c:v>40148</c:v>
                </c:pt>
                <c:pt idx="2">
                  <c:v>40179</c:v>
                </c:pt>
                <c:pt idx="3">
                  <c:v>40210</c:v>
                </c:pt>
                <c:pt idx="4">
                  <c:v>40238</c:v>
                </c:pt>
                <c:pt idx="5">
                  <c:v>40269</c:v>
                </c:pt>
                <c:pt idx="6">
                  <c:v>40299</c:v>
                </c:pt>
                <c:pt idx="7">
                  <c:v>40330</c:v>
                </c:pt>
                <c:pt idx="8">
                  <c:v>40360</c:v>
                </c:pt>
                <c:pt idx="9">
                  <c:v>40391</c:v>
                </c:pt>
                <c:pt idx="10">
                  <c:v>40422</c:v>
                </c:pt>
                <c:pt idx="11">
                  <c:v>40452</c:v>
                </c:pt>
                <c:pt idx="12">
                  <c:v>40483</c:v>
                </c:pt>
                <c:pt idx="13">
                  <c:v>40513</c:v>
                </c:pt>
                <c:pt idx="14">
                  <c:v>40544</c:v>
                </c:pt>
                <c:pt idx="15">
                  <c:v>40575</c:v>
                </c:pt>
                <c:pt idx="16">
                  <c:v>40603</c:v>
                </c:pt>
                <c:pt idx="17">
                  <c:v>40634</c:v>
                </c:pt>
                <c:pt idx="18">
                  <c:v>40664</c:v>
                </c:pt>
                <c:pt idx="19">
                  <c:v>40695</c:v>
                </c:pt>
                <c:pt idx="20">
                  <c:v>40725</c:v>
                </c:pt>
                <c:pt idx="21">
                  <c:v>40756</c:v>
                </c:pt>
                <c:pt idx="22">
                  <c:v>40787</c:v>
                </c:pt>
                <c:pt idx="23">
                  <c:v>40817</c:v>
                </c:pt>
                <c:pt idx="24">
                  <c:v>40848</c:v>
                </c:pt>
                <c:pt idx="25">
                  <c:v>40878</c:v>
                </c:pt>
                <c:pt idx="26">
                  <c:v>40909</c:v>
                </c:pt>
                <c:pt idx="27">
                  <c:v>40940</c:v>
                </c:pt>
                <c:pt idx="28">
                  <c:v>40969</c:v>
                </c:pt>
                <c:pt idx="29">
                  <c:v>41000</c:v>
                </c:pt>
                <c:pt idx="30">
                  <c:v>41030</c:v>
                </c:pt>
                <c:pt idx="31">
                  <c:v>41061</c:v>
                </c:pt>
                <c:pt idx="32">
                  <c:v>41091</c:v>
                </c:pt>
                <c:pt idx="33">
                  <c:v>41122</c:v>
                </c:pt>
                <c:pt idx="34">
                  <c:v>41153</c:v>
                </c:pt>
                <c:pt idx="35">
                  <c:v>41183</c:v>
                </c:pt>
                <c:pt idx="36">
                  <c:v>41214</c:v>
                </c:pt>
                <c:pt idx="37">
                  <c:v>41244</c:v>
                </c:pt>
                <c:pt idx="38">
                  <c:v>41275</c:v>
                </c:pt>
                <c:pt idx="39">
                  <c:v>41306</c:v>
                </c:pt>
                <c:pt idx="40">
                  <c:v>41334</c:v>
                </c:pt>
                <c:pt idx="41">
                  <c:v>41365</c:v>
                </c:pt>
                <c:pt idx="42">
                  <c:v>41395</c:v>
                </c:pt>
                <c:pt idx="43">
                  <c:v>41426</c:v>
                </c:pt>
                <c:pt idx="44">
                  <c:v>41456</c:v>
                </c:pt>
                <c:pt idx="45">
                  <c:v>41487</c:v>
                </c:pt>
                <c:pt idx="46">
                  <c:v>41518</c:v>
                </c:pt>
                <c:pt idx="47">
                  <c:v>41548</c:v>
                </c:pt>
                <c:pt idx="48">
                  <c:v>41579</c:v>
                </c:pt>
                <c:pt idx="49">
                  <c:v>41609</c:v>
                </c:pt>
                <c:pt idx="50">
                  <c:v>41640</c:v>
                </c:pt>
                <c:pt idx="51">
                  <c:v>41671</c:v>
                </c:pt>
                <c:pt idx="52">
                  <c:v>41699</c:v>
                </c:pt>
                <c:pt idx="53">
                  <c:v>41730</c:v>
                </c:pt>
                <c:pt idx="54">
                  <c:v>41760</c:v>
                </c:pt>
                <c:pt idx="55">
                  <c:v>41791</c:v>
                </c:pt>
                <c:pt idx="56">
                  <c:v>41821</c:v>
                </c:pt>
                <c:pt idx="57">
                  <c:v>41852</c:v>
                </c:pt>
                <c:pt idx="58">
                  <c:v>41883</c:v>
                </c:pt>
                <c:pt idx="59">
                  <c:v>41913</c:v>
                </c:pt>
                <c:pt idx="60">
                  <c:v>41944</c:v>
                </c:pt>
                <c:pt idx="61">
                  <c:v>41974</c:v>
                </c:pt>
                <c:pt idx="62">
                  <c:v>42005</c:v>
                </c:pt>
                <c:pt idx="63">
                  <c:v>42036</c:v>
                </c:pt>
                <c:pt idx="64">
                  <c:v>42064</c:v>
                </c:pt>
                <c:pt idx="65">
                  <c:v>42095</c:v>
                </c:pt>
                <c:pt idx="66">
                  <c:v>42125</c:v>
                </c:pt>
                <c:pt idx="67">
                  <c:v>42156</c:v>
                </c:pt>
                <c:pt idx="68">
                  <c:v>42186</c:v>
                </c:pt>
                <c:pt idx="69">
                  <c:v>42217</c:v>
                </c:pt>
                <c:pt idx="70">
                  <c:v>42248</c:v>
                </c:pt>
                <c:pt idx="71">
                  <c:v>42278</c:v>
                </c:pt>
                <c:pt idx="72">
                  <c:v>42309</c:v>
                </c:pt>
                <c:pt idx="73">
                  <c:v>42339</c:v>
                </c:pt>
                <c:pt idx="74">
                  <c:v>42370</c:v>
                </c:pt>
                <c:pt idx="75">
                  <c:v>42401</c:v>
                </c:pt>
                <c:pt idx="76">
                  <c:v>42430</c:v>
                </c:pt>
                <c:pt idx="77">
                  <c:v>42461</c:v>
                </c:pt>
                <c:pt idx="78">
                  <c:v>42491</c:v>
                </c:pt>
                <c:pt idx="79">
                  <c:v>42522</c:v>
                </c:pt>
                <c:pt idx="80">
                  <c:v>42552</c:v>
                </c:pt>
                <c:pt idx="81">
                  <c:v>42583</c:v>
                </c:pt>
                <c:pt idx="82">
                  <c:v>42614</c:v>
                </c:pt>
                <c:pt idx="83">
                  <c:v>42644</c:v>
                </c:pt>
                <c:pt idx="84">
                  <c:v>42675</c:v>
                </c:pt>
                <c:pt idx="85">
                  <c:v>42705</c:v>
                </c:pt>
                <c:pt idx="86">
                  <c:v>42736</c:v>
                </c:pt>
                <c:pt idx="87">
                  <c:v>42767</c:v>
                </c:pt>
                <c:pt idx="88">
                  <c:v>42795</c:v>
                </c:pt>
                <c:pt idx="89">
                  <c:v>42826</c:v>
                </c:pt>
                <c:pt idx="90">
                  <c:v>42856</c:v>
                </c:pt>
                <c:pt idx="91">
                  <c:v>42887</c:v>
                </c:pt>
                <c:pt idx="92">
                  <c:v>42917</c:v>
                </c:pt>
                <c:pt idx="93">
                  <c:v>42948</c:v>
                </c:pt>
                <c:pt idx="94">
                  <c:v>42979</c:v>
                </c:pt>
                <c:pt idx="95">
                  <c:v>43009</c:v>
                </c:pt>
                <c:pt idx="96">
                  <c:v>43040</c:v>
                </c:pt>
                <c:pt idx="97">
                  <c:v>43070</c:v>
                </c:pt>
                <c:pt idx="98">
                  <c:v>43101</c:v>
                </c:pt>
                <c:pt idx="99">
                  <c:v>43132</c:v>
                </c:pt>
                <c:pt idx="100">
                  <c:v>43160</c:v>
                </c:pt>
                <c:pt idx="101">
                  <c:v>43191</c:v>
                </c:pt>
                <c:pt idx="102">
                  <c:v>43221</c:v>
                </c:pt>
                <c:pt idx="103">
                  <c:v>43252</c:v>
                </c:pt>
                <c:pt idx="104">
                  <c:v>43282</c:v>
                </c:pt>
                <c:pt idx="105">
                  <c:v>43313</c:v>
                </c:pt>
                <c:pt idx="106">
                  <c:v>43344</c:v>
                </c:pt>
                <c:pt idx="107">
                  <c:v>43374</c:v>
                </c:pt>
                <c:pt idx="108">
                  <c:v>43405</c:v>
                </c:pt>
                <c:pt idx="109">
                  <c:v>43435</c:v>
                </c:pt>
                <c:pt idx="110">
                  <c:v>43466</c:v>
                </c:pt>
                <c:pt idx="111">
                  <c:v>43497</c:v>
                </c:pt>
                <c:pt idx="112">
                  <c:v>43525</c:v>
                </c:pt>
                <c:pt idx="113">
                  <c:v>43556</c:v>
                </c:pt>
                <c:pt idx="114">
                  <c:v>43586</c:v>
                </c:pt>
                <c:pt idx="115">
                  <c:v>43617</c:v>
                </c:pt>
                <c:pt idx="116">
                  <c:v>43647</c:v>
                </c:pt>
                <c:pt idx="117">
                  <c:v>43678</c:v>
                </c:pt>
                <c:pt idx="118">
                  <c:v>43709</c:v>
                </c:pt>
                <c:pt idx="119">
                  <c:v>43739</c:v>
                </c:pt>
                <c:pt idx="120">
                  <c:v>43770</c:v>
                </c:pt>
              </c:numCache>
            </c:numRef>
          </c:cat>
          <c:val>
            <c:numRef>
              <c:f>'Retail Spending'!$F$5:$F$125</c:f>
              <c:numCache>
                <c:formatCode>0.0;\-0.0;0.0;@</c:formatCode>
                <c:ptCount val="121"/>
                <c:pt idx="0">
                  <c:v>0.4</c:v>
                </c:pt>
                <c:pt idx="1">
                  <c:v>0.1</c:v>
                </c:pt>
                <c:pt idx="2">
                  <c:v>-0.3</c:v>
                </c:pt>
                <c:pt idx="3">
                  <c:v>-0.4</c:v>
                </c:pt>
                <c:pt idx="4">
                  <c:v>-0.5</c:v>
                </c:pt>
                <c:pt idx="5">
                  <c:v>-0.4</c:v>
                </c:pt>
                <c:pt idx="6">
                  <c:v>-0.1</c:v>
                </c:pt>
                <c:pt idx="7">
                  <c:v>0</c:v>
                </c:pt>
                <c:pt idx="8">
                  <c:v>0.1</c:v>
                </c:pt>
                <c:pt idx="9">
                  <c:v>0.1</c:v>
                </c:pt>
                <c:pt idx="10">
                  <c:v>-0.1</c:v>
                </c:pt>
                <c:pt idx="11">
                  <c:v>-0.2</c:v>
                </c:pt>
                <c:pt idx="12">
                  <c:v>-0.3</c:v>
                </c:pt>
                <c:pt idx="13">
                  <c:v>-0.1</c:v>
                </c:pt>
                <c:pt idx="14">
                  <c:v>0</c:v>
                </c:pt>
                <c:pt idx="15">
                  <c:v>0</c:v>
                </c:pt>
                <c:pt idx="16">
                  <c:v>-0.1</c:v>
                </c:pt>
                <c:pt idx="17">
                  <c:v>-0.3</c:v>
                </c:pt>
                <c:pt idx="18">
                  <c:v>-0.5</c:v>
                </c:pt>
                <c:pt idx="19">
                  <c:v>-0.6</c:v>
                </c:pt>
                <c:pt idx="20">
                  <c:v>-0.6</c:v>
                </c:pt>
                <c:pt idx="21">
                  <c:v>-0.5</c:v>
                </c:pt>
                <c:pt idx="22">
                  <c:v>-0.3</c:v>
                </c:pt>
                <c:pt idx="23">
                  <c:v>-0.1</c:v>
                </c:pt>
                <c:pt idx="24">
                  <c:v>0.2</c:v>
                </c:pt>
                <c:pt idx="25">
                  <c:v>0.2</c:v>
                </c:pt>
                <c:pt idx="26">
                  <c:v>0.5</c:v>
                </c:pt>
                <c:pt idx="27">
                  <c:v>0.8</c:v>
                </c:pt>
                <c:pt idx="28">
                  <c:v>0.8</c:v>
                </c:pt>
                <c:pt idx="29">
                  <c:v>0.6</c:v>
                </c:pt>
                <c:pt idx="30">
                  <c:v>0.3</c:v>
                </c:pt>
                <c:pt idx="31">
                  <c:v>0</c:v>
                </c:pt>
                <c:pt idx="32">
                  <c:v>-0.3</c:v>
                </c:pt>
                <c:pt idx="33">
                  <c:v>-0.5</c:v>
                </c:pt>
                <c:pt idx="34">
                  <c:v>-0.5</c:v>
                </c:pt>
                <c:pt idx="35">
                  <c:v>-0.2</c:v>
                </c:pt>
                <c:pt idx="36">
                  <c:v>0.1</c:v>
                </c:pt>
                <c:pt idx="37">
                  <c:v>0.2</c:v>
                </c:pt>
                <c:pt idx="38">
                  <c:v>0.3</c:v>
                </c:pt>
                <c:pt idx="39">
                  <c:v>0.1</c:v>
                </c:pt>
                <c:pt idx="40">
                  <c:v>-0.1</c:v>
                </c:pt>
                <c:pt idx="41">
                  <c:v>-0.5</c:v>
                </c:pt>
                <c:pt idx="42">
                  <c:v>-0.6</c:v>
                </c:pt>
                <c:pt idx="43">
                  <c:v>-0.4</c:v>
                </c:pt>
                <c:pt idx="44">
                  <c:v>-0.1</c:v>
                </c:pt>
                <c:pt idx="45">
                  <c:v>0.2</c:v>
                </c:pt>
                <c:pt idx="46">
                  <c:v>0.5</c:v>
                </c:pt>
                <c:pt idx="47">
                  <c:v>0.4</c:v>
                </c:pt>
                <c:pt idx="48">
                  <c:v>0.1</c:v>
                </c:pt>
                <c:pt idx="49">
                  <c:v>-0.1</c:v>
                </c:pt>
                <c:pt idx="50">
                  <c:v>-0.4</c:v>
                </c:pt>
                <c:pt idx="51">
                  <c:v>-0.4</c:v>
                </c:pt>
                <c:pt idx="52">
                  <c:v>-0.2</c:v>
                </c:pt>
                <c:pt idx="53">
                  <c:v>-0.1</c:v>
                </c:pt>
                <c:pt idx="54">
                  <c:v>-0.1</c:v>
                </c:pt>
                <c:pt idx="55">
                  <c:v>0</c:v>
                </c:pt>
                <c:pt idx="56">
                  <c:v>0.1</c:v>
                </c:pt>
                <c:pt idx="57">
                  <c:v>0.2</c:v>
                </c:pt>
                <c:pt idx="58">
                  <c:v>0.3</c:v>
                </c:pt>
                <c:pt idx="59">
                  <c:v>0.3</c:v>
                </c:pt>
                <c:pt idx="60">
                  <c:v>0.4</c:v>
                </c:pt>
                <c:pt idx="61">
                  <c:v>0.3</c:v>
                </c:pt>
                <c:pt idx="62">
                  <c:v>0.1</c:v>
                </c:pt>
                <c:pt idx="63">
                  <c:v>0</c:v>
                </c:pt>
                <c:pt idx="64">
                  <c:v>0</c:v>
                </c:pt>
                <c:pt idx="65">
                  <c:v>0.1</c:v>
                </c:pt>
                <c:pt idx="66">
                  <c:v>0.3</c:v>
                </c:pt>
                <c:pt idx="67">
                  <c:v>0.6</c:v>
                </c:pt>
                <c:pt idx="68">
                  <c:v>0.7</c:v>
                </c:pt>
                <c:pt idx="69">
                  <c:v>0.7</c:v>
                </c:pt>
                <c:pt idx="70">
                  <c:v>0.7</c:v>
                </c:pt>
                <c:pt idx="71">
                  <c:v>0.6</c:v>
                </c:pt>
                <c:pt idx="72">
                  <c:v>0.4</c:v>
                </c:pt>
                <c:pt idx="73">
                  <c:v>0.2</c:v>
                </c:pt>
                <c:pt idx="74">
                  <c:v>0.1</c:v>
                </c:pt>
                <c:pt idx="75">
                  <c:v>0</c:v>
                </c:pt>
                <c:pt idx="76">
                  <c:v>-0.3</c:v>
                </c:pt>
                <c:pt idx="77">
                  <c:v>-0.5</c:v>
                </c:pt>
                <c:pt idx="78">
                  <c:v>-0.6</c:v>
                </c:pt>
                <c:pt idx="79">
                  <c:v>-0.6</c:v>
                </c:pt>
                <c:pt idx="80">
                  <c:v>-0.6</c:v>
                </c:pt>
                <c:pt idx="81">
                  <c:v>-0.5</c:v>
                </c:pt>
                <c:pt idx="82">
                  <c:v>-0.4</c:v>
                </c:pt>
                <c:pt idx="83">
                  <c:v>-0.2</c:v>
                </c:pt>
                <c:pt idx="84">
                  <c:v>0</c:v>
                </c:pt>
                <c:pt idx="85">
                  <c:v>0.3</c:v>
                </c:pt>
                <c:pt idx="86">
                  <c:v>0.5</c:v>
                </c:pt>
                <c:pt idx="87">
                  <c:v>0.5</c:v>
                </c:pt>
                <c:pt idx="88">
                  <c:v>0.3</c:v>
                </c:pt>
                <c:pt idx="89">
                  <c:v>0</c:v>
                </c:pt>
                <c:pt idx="90">
                  <c:v>-0.2</c:v>
                </c:pt>
                <c:pt idx="91">
                  <c:v>-0.3</c:v>
                </c:pt>
                <c:pt idx="92">
                  <c:v>-0.2</c:v>
                </c:pt>
                <c:pt idx="93">
                  <c:v>-0.1</c:v>
                </c:pt>
                <c:pt idx="94">
                  <c:v>0</c:v>
                </c:pt>
                <c:pt idx="95">
                  <c:v>0.1</c:v>
                </c:pt>
                <c:pt idx="96">
                  <c:v>0</c:v>
                </c:pt>
                <c:pt idx="97">
                  <c:v>-0.2</c:v>
                </c:pt>
                <c:pt idx="98">
                  <c:v>-0.1</c:v>
                </c:pt>
                <c:pt idx="99">
                  <c:v>0.1</c:v>
                </c:pt>
                <c:pt idx="100">
                  <c:v>0.3</c:v>
                </c:pt>
                <c:pt idx="101">
                  <c:v>0.4</c:v>
                </c:pt>
                <c:pt idx="102">
                  <c:v>0.3</c:v>
                </c:pt>
                <c:pt idx="103">
                  <c:v>0.2</c:v>
                </c:pt>
                <c:pt idx="104">
                  <c:v>0</c:v>
                </c:pt>
                <c:pt idx="105">
                  <c:v>-0.1</c:v>
                </c:pt>
                <c:pt idx="106">
                  <c:v>-0.2</c:v>
                </c:pt>
                <c:pt idx="107">
                  <c:v>-0.3</c:v>
                </c:pt>
                <c:pt idx="108">
                  <c:v>-0.3</c:v>
                </c:pt>
                <c:pt idx="109">
                  <c:v>-0.1</c:v>
                </c:pt>
                <c:pt idx="110">
                  <c:v>0</c:v>
                </c:pt>
                <c:pt idx="111">
                  <c:v>0.1</c:v>
                </c:pt>
                <c:pt idx="112">
                  <c:v>0.3</c:v>
                </c:pt>
                <c:pt idx="113">
                  <c:v>0.3</c:v>
                </c:pt>
                <c:pt idx="114">
                  <c:v>0.2</c:v>
                </c:pt>
                <c:pt idx="115">
                  <c:v>0.1</c:v>
                </c:pt>
                <c:pt idx="116">
                  <c:v>0.1</c:v>
                </c:pt>
                <c:pt idx="117">
                  <c:v>0.3</c:v>
                </c:pt>
                <c:pt idx="118">
                  <c:v>0.4</c:v>
                </c:pt>
                <c:pt idx="119">
                  <c:v>0.5</c:v>
                </c:pt>
                <c:pt idx="120">
                  <c:v>0.5</c:v>
                </c:pt>
              </c:numCache>
            </c:numRef>
          </c:val>
          <c:smooth val="0"/>
          <c:extLst>
            <c:ext xmlns:c16="http://schemas.microsoft.com/office/drawing/2014/chart" uri="{C3380CC4-5D6E-409C-BE32-E72D297353CC}">
              <c16:uniqueId val="{00000000-793C-4873-BA82-5080DC1D19B3}"/>
            </c:ext>
          </c:extLst>
        </c:ser>
        <c:dLbls>
          <c:showLegendKey val="0"/>
          <c:showVal val="0"/>
          <c:showCatName val="0"/>
          <c:showSerName val="0"/>
          <c:showPercent val="0"/>
          <c:showBubbleSize val="0"/>
        </c:dLbls>
        <c:smooth val="0"/>
        <c:axId val="1417747776"/>
        <c:axId val="1362969104"/>
      </c:lineChart>
      <c:dateAx>
        <c:axId val="1417747776"/>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969104"/>
        <c:crosses val="autoZero"/>
        <c:auto val="1"/>
        <c:lblOffset val="100"/>
        <c:baseTimeUnit val="months"/>
      </c:dateAx>
      <c:valAx>
        <c:axId val="1362969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Change from Preceding Month</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74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82C92CB95EA48AADF7C7E8F936255" ma:contentTypeVersion="63" ma:contentTypeDescription="Create a new document." ma:contentTypeScope="" ma:versionID="3344f1b9a00cc3db465feb5c4ecda452">
  <xsd:schema xmlns:xsd="http://www.w3.org/2001/XMLSchema" xmlns:xs="http://www.w3.org/2001/XMLSchema" xmlns:p="http://schemas.microsoft.com/office/2006/metadata/properties" xmlns:ns2="826ac292-5982-4f7b-8e18-798b224ef71d" xmlns:ns3="8e20c6aa-acb3-458c-af56-0332b767bd4d" xmlns:ns4="0efe240d-9eff-4be3-9366-40723dc5e78f" xmlns:ns5="http://schemas.microsoft.com/sharepoint.v3" targetNamespace="http://schemas.microsoft.com/office/2006/metadata/properties" ma:root="true" ma:fieldsID="70a0802f5653a38ee5e3fd373e3e126b" ns2:_="" ns3:_="" ns4:_="" ns5:_="">
    <xsd:import namespace="826ac292-5982-4f7b-8e18-798b224ef71d"/>
    <xsd:import namespace="8e20c6aa-acb3-458c-af56-0332b767bd4d"/>
    <xsd:import namespace="0efe240d-9eff-4be3-9366-40723dc5e78f"/>
    <xsd:import namespace="http://schemas.microsoft.com/sharepoint.v3"/>
    <xsd:element name="properties">
      <xsd:complexType>
        <xsd:sequence>
          <xsd:element name="documentManagement">
            <xsd:complexType>
              <xsd:all>
                <xsd:element ref="ns2:Finalise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TaxKeywordTaxHTField" minOccurs="0"/>
                <xsd:element ref="ns4:TaxCatchAll" minOccurs="0"/>
                <xsd:element ref="ns5:CategoryDescription" minOccurs="0"/>
                <xsd:element ref="ns2:Linked_x0020_Documents" minOccurs="0"/>
                <xsd:element ref="ns2:Meeting" minOccurs="0"/>
                <xsd:element ref="ns2:Team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c292-5982-4f7b-8e18-798b224ef71d" elementFormDefault="qualified">
    <xsd:import namespace="http://schemas.microsoft.com/office/2006/documentManagement/types"/>
    <xsd:import namespace="http://schemas.microsoft.com/office/infopath/2007/PartnerControls"/>
    <xsd:element name="Finalised" ma:index="2" nillable="true" ma:displayName="Finalised" ma:default="No" ma:format="RadioButtons" ma:internalName="Finalised">
      <xsd:simpleType>
        <xsd:restriction base="dms:Choice">
          <xsd:enumeration value="Yes"/>
          <xsd:enumeration value="No"/>
        </xsd:restriction>
      </xsd:simpleType>
    </xsd:element>
    <xsd:element name="Linked_x0020_Documents" ma:index="23" nillable="true" ma:displayName="Linked Documents" ma:format="Hyperlink" ma:internalName="Linked_x0020_Documents">
      <xsd:complexType>
        <xsd:complexContent>
          <xsd:extension base="dms:URL">
            <xsd:sequence>
              <xsd:element name="Url" type="dms:ValidUrl" minOccurs="0" nillable="true"/>
              <xsd:element name="Description" type="xsd:string" nillable="true"/>
            </xsd:sequence>
          </xsd:extension>
        </xsd:complexContent>
      </xsd:complexType>
    </xsd:element>
    <xsd:element name="Meeting" ma:index="24" nillable="true" ma:displayName="Meeting" ma:description="Attached to a Meeting document set" ma:format="Hyperlink" ma:internalName="Meeting">
      <xsd:complexType>
        <xsd:complexContent>
          <xsd:extension base="dms:URL">
            <xsd:sequence>
              <xsd:element name="Url" type="dms:ValidUrl" minOccurs="0" nillable="true"/>
              <xsd:element name="Description" type="xsd:string" nillable="true"/>
            </xsd:sequence>
          </xsd:extension>
        </xsd:complexContent>
      </xsd:complexType>
    </xsd:element>
    <xsd:element name="Team_x0020_Group" ma:index="25" nillable="true" ma:displayName="Team Group" ma:list="UserInfo" ma:SearchPeopleOnly="false" ma:SharePointGroup="0" ma:internalName="Team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0c6aa-acb3-458c-af56-0332b767bd4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e240d-9eff-4be3-9366-40723dc5e78f" elementFormDefault="qualified">
    <xsd:import namespace="http://schemas.microsoft.com/office/2006/documentManagement/types"/>
    <xsd:import namespace="http://schemas.microsoft.com/office/infopath/2007/PartnerControls"/>
    <xsd:element name="TaxKeywordTaxHTField" ma:index="20" nillable="true" ma:taxonomy="true" ma:internalName="TaxKeywordTaxHTField" ma:taxonomyFieldName="TaxKeyword" ma:displayName="Enterprise Keywords" ma:fieldId="{23f27201-bee3-471e-b2e7-b64fd8b7ca38}" ma:taxonomyMulti="true" ma:sspId="8affac9c-97f0-4741-9565-902333f846b5"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4034b937-c185-450e-83f3-1a46fe0487f5}" ma:internalName="TaxCatchAll" ma:showField="CatchAllData" ma:web="0efe240d-9eff-4be3-9366-40723dc5e7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2"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ised xmlns="826ac292-5982-4f7b-8e18-798b224ef71d">No</Finalised>
    <Linked_x0020_Documents xmlns="826ac292-5982-4f7b-8e18-798b224ef71d">
      <Url xsi:nil="true"/>
      <Description xsi:nil="true"/>
    </Linked_x0020_Documents>
    <Team_x0020_Group xmlns="826ac292-5982-4f7b-8e18-798b224ef71d">
      <UserInfo>
        <DisplayName/>
        <AccountId xsi:nil="true"/>
        <AccountType/>
      </UserInfo>
    </Team_x0020_Group>
    <CategoryDescription xmlns="http://schemas.microsoft.com/sharepoint.v3" xsi:nil="true"/>
    <TaxKeywordTaxHTField xmlns="0efe240d-9eff-4be3-9366-40723dc5e78f">
      <Terms xmlns="http://schemas.microsoft.com/office/infopath/2007/PartnerControls"/>
    </TaxKeywordTaxHTField>
    <TaxCatchAll xmlns="0efe240d-9eff-4be3-9366-40723dc5e78f"/>
    <Meeting xmlns="826ac292-5982-4f7b-8e18-798b224ef71d">
      <Url xsi:nil="true"/>
      <Description xsi:nil="true"/>
    </Meet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EDDE-A38C-459E-B638-CDF393EC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c292-5982-4f7b-8e18-798b224ef71d"/>
    <ds:schemaRef ds:uri="8e20c6aa-acb3-458c-af56-0332b767bd4d"/>
    <ds:schemaRef ds:uri="0efe240d-9eff-4be3-9366-40723dc5e78f"/>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D031-61E6-48F5-85F9-8CFCE9D96DD8}">
  <ds:schemaRefs>
    <ds:schemaRef ds:uri="http://schemas.microsoft.com/sharepoint/v3/contenttype/forms"/>
  </ds:schemaRefs>
</ds:datastoreItem>
</file>

<file path=customXml/itemProps3.xml><?xml version="1.0" encoding="utf-8"?>
<ds:datastoreItem xmlns:ds="http://schemas.openxmlformats.org/officeDocument/2006/customXml" ds:itemID="{3404D6BB-DBFA-4ECD-99FC-AAD2B981BF58}">
  <ds:schemaRefs>
    <ds:schemaRef ds:uri="http://schemas.microsoft.com/office/2006/metadata/properties"/>
    <ds:schemaRef ds:uri="http://schemas.microsoft.com/office/infopath/2007/PartnerControls"/>
    <ds:schemaRef ds:uri="826ac292-5982-4f7b-8e18-798b224ef71d"/>
    <ds:schemaRef ds:uri="http://schemas.microsoft.com/sharepoint.v3"/>
    <ds:schemaRef ds:uri="0efe240d-9eff-4be3-9366-40723dc5e78f"/>
  </ds:schemaRefs>
</ds:datastoreItem>
</file>

<file path=customXml/itemProps4.xml><?xml version="1.0" encoding="utf-8"?>
<ds:datastoreItem xmlns:ds="http://schemas.openxmlformats.org/officeDocument/2006/customXml" ds:itemID="{FF154DB5-C21A-468B-9AA8-6364752D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15371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SDA National</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Dwyer</dc:creator>
  <cp:keywords/>
  <dc:description/>
  <cp:lastModifiedBy>BROCCHI, Ben</cp:lastModifiedBy>
  <cp:revision>2</cp:revision>
  <dcterms:created xsi:type="dcterms:W3CDTF">2020-03-22T23:05:00Z</dcterms:created>
  <dcterms:modified xsi:type="dcterms:W3CDTF">2020-03-22T23:05:00Z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0x01010069882C92CB95EA48AADF7C7E8F936255</vt:lpwstr>
  </property>
  <property fmtid="{D5CDD505-2E9C-101B-9397-08002B2CF9AE}" pid="3" name="TaxKeyword">
    <vt:lpwstr/>
  </property>
</Properties>
</file>